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51" w:rsidRPr="00E90BDC" w:rsidRDefault="000F4E51" w:rsidP="00C95E1C">
      <w:pPr>
        <w:spacing w:line="240" w:lineRule="auto"/>
        <w:jc w:val="right"/>
        <w:rPr>
          <w:rFonts w:ascii="Arial" w:hAnsi="Arial" w:cs="Arial"/>
          <w:i/>
        </w:rPr>
      </w:pPr>
      <w:r w:rsidRPr="00E90BDC">
        <w:rPr>
          <w:rFonts w:ascii="Arial" w:hAnsi="Arial" w:cs="Arial"/>
          <w:i/>
          <w:noProof/>
          <w:lang w:val="mn-MN" w:eastAsia="mn-MN"/>
        </w:rPr>
        <w:drawing>
          <wp:inline distT="0" distB="0" distL="0" distR="0">
            <wp:extent cx="6400800" cy="8801100"/>
            <wp:effectExtent l="19050" t="0" r="0" b="0"/>
            <wp:docPr id="1" name="Picture 1" descr="C:\Users\bsb\Desktop\umchiin alba.juram\33-r togt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b\Desktop\umchiin alba.juram\33-r togtool.jpg"/>
                    <pic:cNvPicPr>
                      <a:picLocks noChangeAspect="1" noChangeArrowheads="1"/>
                    </pic:cNvPicPr>
                  </pic:nvPicPr>
                  <pic:blipFill>
                    <a:blip r:embed="rId6" cstate="print"/>
                    <a:srcRect/>
                    <a:stretch>
                      <a:fillRect/>
                    </a:stretch>
                  </pic:blipFill>
                  <pic:spPr bwMode="auto">
                    <a:xfrm>
                      <a:off x="0" y="0"/>
                      <a:ext cx="6400800" cy="8801100"/>
                    </a:xfrm>
                    <a:prstGeom prst="rect">
                      <a:avLst/>
                    </a:prstGeom>
                    <a:noFill/>
                    <a:ln w="9525">
                      <a:noFill/>
                      <a:miter lim="800000"/>
                      <a:headEnd/>
                      <a:tailEnd/>
                    </a:ln>
                  </pic:spPr>
                </pic:pic>
              </a:graphicData>
            </a:graphic>
          </wp:inline>
        </w:drawing>
      </w:r>
    </w:p>
    <w:p w:rsidR="0002594E" w:rsidRPr="00E90BDC" w:rsidRDefault="003E6742" w:rsidP="00ED25B0">
      <w:pPr>
        <w:spacing w:line="240" w:lineRule="auto"/>
        <w:jc w:val="right"/>
        <w:rPr>
          <w:rFonts w:ascii="Arial" w:hAnsi="Arial" w:cs="Arial"/>
          <w:i/>
          <w:lang w:val="mn-MN"/>
        </w:rPr>
      </w:pPr>
      <w:r w:rsidRPr="00E90BDC">
        <w:rPr>
          <w:rFonts w:ascii="Arial" w:hAnsi="Arial" w:cs="Arial"/>
          <w:i/>
          <w:noProof/>
          <w:lang w:val="mn-MN" w:eastAsia="mn-MN"/>
        </w:rPr>
        <w:lastRenderedPageBreak/>
        <w:drawing>
          <wp:inline distT="0" distB="0" distL="0" distR="0">
            <wp:extent cx="6400800" cy="8801100"/>
            <wp:effectExtent l="19050" t="0" r="0" b="0"/>
            <wp:docPr id="2" name="Picture 2" descr="C:\Users\bsb\Documents\Scanned Document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b\Documents\Scanned Documents\Image (3).jpg"/>
                    <pic:cNvPicPr>
                      <a:picLocks noChangeAspect="1" noChangeArrowheads="1"/>
                    </pic:cNvPicPr>
                  </pic:nvPicPr>
                  <pic:blipFill>
                    <a:blip r:embed="rId7" cstate="print"/>
                    <a:srcRect/>
                    <a:stretch>
                      <a:fillRect/>
                    </a:stretch>
                  </pic:blipFill>
                  <pic:spPr bwMode="auto">
                    <a:xfrm>
                      <a:off x="0" y="0"/>
                      <a:ext cx="6400800" cy="8801100"/>
                    </a:xfrm>
                    <a:prstGeom prst="rect">
                      <a:avLst/>
                    </a:prstGeom>
                    <a:noFill/>
                    <a:ln w="9525">
                      <a:noFill/>
                      <a:miter lim="800000"/>
                      <a:headEnd/>
                      <a:tailEnd/>
                    </a:ln>
                  </pic:spPr>
                </pic:pic>
              </a:graphicData>
            </a:graphic>
          </wp:inline>
        </w:drawing>
      </w:r>
    </w:p>
    <w:p w:rsidR="00D311EE" w:rsidRPr="00E90BDC" w:rsidRDefault="00D311EE" w:rsidP="00D311EE">
      <w:pPr>
        <w:jc w:val="center"/>
        <w:rPr>
          <w:rFonts w:ascii="Arial" w:hAnsi="Arial" w:cs="Arial"/>
          <w:b/>
          <w:i/>
          <w:lang w:val="mn-MN"/>
        </w:rPr>
      </w:pPr>
      <w:r w:rsidRPr="00E90BDC">
        <w:rPr>
          <w:rFonts w:ascii="Arial" w:hAnsi="Arial" w:cs="Arial"/>
          <w:b/>
          <w:i/>
          <w:lang w:val="mn-MN"/>
        </w:rPr>
        <w:lastRenderedPageBreak/>
        <w:t xml:space="preserve"> </w:t>
      </w:r>
      <w:r w:rsidR="00890D8D" w:rsidRPr="00E90BDC">
        <w:rPr>
          <w:rFonts w:ascii="Arial" w:hAnsi="Arial" w:cs="Arial"/>
          <w:b/>
          <w:i/>
          <w:lang w:val="mn-MN"/>
        </w:rPr>
        <w:t xml:space="preserve">АЙМГИЙН ӨМЧ ХАМГААЛАХ БАЙНГЫН </w:t>
      </w:r>
    </w:p>
    <w:p w:rsidR="00890D8D" w:rsidRPr="00E90BDC" w:rsidRDefault="00890D8D" w:rsidP="00D311EE">
      <w:pPr>
        <w:jc w:val="center"/>
        <w:rPr>
          <w:rFonts w:ascii="Arial" w:hAnsi="Arial" w:cs="Arial"/>
          <w:b/>
          <w:i/>
          <w:lang w:val="mn-MN"/>
        </w:rPr>
      </w:pPr>
      <w:r w:rsidRPr="00E90BDC">
        <w:rPr>
          <w:rFonts w:ascii="Arial" w:hAnsi="Arial" w:cs="Arial"/>
          <w:b/>
          <w:i/>
          <w:lang w:val="mn-MN"/>
        </w:rPr>
        <w:t>ЗӨВЛӨЛИЙН АЖИЛЛАХ ЖУРАМ</w:t>
      </w:r>
    </w:p>
    <w:p w:rsidR="00C95E1C" w:rsidRPr="00E90BDC" w:rsidRDefault="009C6F50" w:rsidP="00002FE4">
      <w:pPr>
        <w:jc w:val="both"/>
        <w:rPr>
          <w:rFonts w:ascii="Arial" w:hAnsi="Arial" w:cs="Arial"/>
          <w:i/>
          <w:lang w:val="mn-MN"/>
        </w:rPr>
      </w:pPr>
      <w:r w:rsidRPr="00E90BDC">
        <w:rPr>
          <w:rFonts w:ascii="Arial" w:hAnsi="Arial" w:cs="Arial"/>
          <w:i/>
          <w:lang w:val="mn-MN"/>
        </w:rPr>
        <w:tab/>
      </w:r>
    </w:p>
    <w:p w:rsidR="00890D8D" w:rsidRPr="00E90BDC" w:rsidRDefault="009C6F50" w:rsidP="00E90BDC">
      <w:pPr>
        <w:jc w:val="center"/>
        <w:rPr>
          <w:rFonts w:ascii="Arial" w:hAnsi="Arial" w:cs="Arial"/>
          <w:i/>
          <w:lang w:val="mn-MN"/>
        </w:rPr>
      </w:pPr>
      <w:r w:rsidRPr="00E90BDC">
        <w:rPr>
          <w:rFonts w:ascii="Arial" w:hAnsi="Arial" w:cs="Arial"/>
          <w:b/>
          <w:i/>
          <w:lang w:val="mn-MN"/>
        </w:rPr>
        <w:t>Нэг. Нийтлэг үндэслэл</w:t>
      </w:r>
    </w:p>
    <w:p w:rsidR="009C6F50" w:rsidRPr="00E90BDC" w:rsidRDefault="001F402E" w:rsidP="001F402E">
      <w:pPr>
        <w:ind w:firstLine="720"/>
        <w:jc w:val="both"/>
        <w:rPr>
          <w:rFonts w:ascii="Arial" w:hAnsi="Arial" w:cs="Arial"/>
          <w:i/>
          <w:lang w:val="mn-MN"/>
        </w:rPr>
      </w:pPr>
      <w:r w:rsidRPr="00E90BDC">
        <w:rPr>
          <w:rFonts w:ascii="Arial" w:hAnsi="Arial" w:cs="Arial"/>
          <w:i/>
          <w:lang w:val="mn-MN"/>
        </w:rPr>
        <w:t>1. Өмч хамгаалах байнгын зөвлөл нь Орон нутгийн өмчит хуулийн этгээдийн тайлан тэнцэлд бүртгэлтэй байгаа илүүдэл буюу ашиглалтын шаардлага хангахгүй болсон үндсэн хөрөнгөнд хамаарах хөдлөх хөрөнгө /цаашид үндсэн хөрөнгө гэх/-ийг худалдах, шилжүүлэх, актлаж устгах зорилгоор данснаас хасах асуудлыг шийдвэрлэнэ.</w:t>
      </w:r>
    </w:p>
    <w:p w:rsidR="00426B38" w:rsidRPr="00E90BDC" w:rsidRDefault="00426B38" w:rsidP="001F402E">
      <w:pPr>
        <w:ind w:firstLine="720"/>
        <w:jc w:val="both"/>
        <w:rPr>
          <w:rFonts w:ascii="Arial" w:hAnsi="Arial" w:cs="Arial"/>
          <w:i/>
          <w:lang w:val="mn-MN"/>
        </w:rPr>
      </w:pPr>
      <w:r w:rsidRPr="00E90BDC">
        <w:rPr>
          <w:rFonts w:ascii="Arial" w:hAnsi="Arial" w:cs="Arial"/>
          <w:i/>
          <w:lang w:val="mn-MN"/>
        </w:rPr>
        <w:t>2. Орон нутгийн өмчит хуулийн эт</w:t>
      </w:r>
      <w:r w:rsidR="00C95E1C" w:rsidRPr="00E90BDC">
        <w:rPr>
          <w:rFonts w:ascii="Arial" w:hAnsi="Arial" w:cs="Arial"/>
          <w:i/>
          <w:lang w:val="mn-MN"/>
        </w:rPr>
        <w:t>гээдийн үндсэн хөрөнгийг дараахь</w:t>
      </w:r>
      <w:r w:rsidRPr="00E90BDC">
        <w:rPr>
          <w:rFonts w:ascii="Arial" w:hAnsi="Arial" w:cs="Arial"/>
          <w:i/>
          <w:lang w:val="mn-MN"/>
        </w:rPr>
        <w:t xml:space="preserve"> тохиолдолд данснаас хасна.</w:t>
      </w:r>
    </w:p>
    <w:p w:rsidR="00426B38" w:rsidRPr="00E90BDC" w:rsidRDefault="00426B38" w:rsidP="001F402E">
      <w:pPr>
        <w:ind w:firstLine="720"/>
        <w:jc w:val="both"/>
        <w:rPr>
          <w:rFonts w:ascii="Arial" w:hAnsi="Arial" w:cs="Arial"/>
          <w:i/>
          <w:lang w:val="mn-MN"/>
        </w:rPr>
      </w:pPr>
      <w:r w:rsidRPr="00E90BDC">
        <w:rPr>
          <w:rFonts w:ascii="Arial" w:hAnsi="Arial" w:cs="Arial"/>
          <w:i/>
          <w:lang w:val="mn-MN"/>
        </w:rPr>
        <w:tab/>
        <w:t>а/ илүүдэлтэй эд хөрөнгө</w:t>
      </w:r>
    </w:p>
    <w:p w:rsidR="00426B38" w:rsidRPr="00E90BDC" w:rsidRDefault="00426B38" w:rsidP="001F402E">
      <w:pPr>
        <w:ind w:firstLine="720"/>
        <w:jc w:val="both"/>
        <w:rPr>
          <w:rFonts w:ascii="Arial" w:hAnsi="Arial" w:cs="Arial"/>
          <w:i/>
          <w:lang w:val="mn-MN"/>
        </w:rPr>
      </w:pPr>
      <w:r w:rsidRPr="00E90BDC">
        <w:rPr>
          <w:rFonts w:ascii="Arial" w:hAnsi="Arial" w:cs="Arial"/>
          <w:i/>
          <w:lang w:val="mn-MN"/>
        </w:rPr>
        <w:tab/>
        <w:t>б/ элэгдэл хорогдлыг шимтгэлээр анхны үнийг нөхсөн буюу ашиглалтын хугацаа дуусч цаашид ашиглах боломжгүй болсон эд хөрөнгө</w:t>
      </w:r>
    </w:p>
    <w:p w:rsidR="00426B38" w:rsidRPr="00E90BDC" w:rsidRDefault="00426B38" w:rsidP="001F402E">
      <w:pPr>
        <w:ind w:firstLine="720"/>
        <w:jc w:val="both"/>
        <w:rPr>
          <w:rFonts w:ascii="Arial" w:hAnsi="Arial" w:cs="Arial"/>
          <w:i/>
          <w:lang w:val="mn-MN"/>
        </w:rPr>
      </w:pPr>
      <w:r w:rsidRPr="00E90BDC">
        <w:rPr>
          <w:rFonts w:ascii="Arial" w:hAnsi="Arial" w:cs="Arial"/>
          <w:i/>
          <w:lang w:val="mn-MN"/>
        </w:rPr>
        <w:tab/>
        <w:t>в/ техник технологийн болон хэрэглээний хоцрогдолд орж, зайлшгүй шинэчлэх шаардлагатай болсон эд хөрөнгө</w:t>
      </w:r>
    </w:p>
    <w:p w:rsidR="00426B38" w:rsidRPr="00E90BDC" w:rsidRDefault="00B62E04" w:rsidP="001F402E">
      <w:pPr>
        <w:ind w:firstLine="720"/>
        <w:jc w:val="both"/>
        <w:rPr>
          <w:rFonts w:ascii="Arial" w:hAnsi="Arial" w:cs="Arial"/>
          <w:i/>
          <w:lang w:val="mn-MN"/>
        </w:rPr>
      </w:pPr>
      <w:r w:rsidRPr="00E90BDC">
        <w:rPr>
          <w:rFonts w:ascii="Arial" w:hAnsi="Arial" w:cs="Arial"/>
          <w:i/>
          <w:lang w:val="mn-MN"/>
        </w:rPr>
        <w:tab/>
        <w:t>г/ анхны өртгөө бүрэн нөхөөгүй боловч, байгалийн гэнэтийн аюул, техникийн осолд өртсөнөөс цаашид ашиглах боломжгүй болсон эд хөрөнгө</w:t>
      </w:r>
    </w:p>
    <w:p w:rsidR="00B62E04" w:rsidRDefault="00B62E04" w:rsidP="001F402E">
      <w:pPr>
        <w:ind w:firstLine="720"/>
        <w:jc w:val="both"/>
        <w:rPr>
          <w:rFonts w:ascii="Arial" w:hAnsi="Arial" w:cs="Arial"/>
          <w:i/>
        </w:rPr>
      </w:pPr>
      <w:r w:rsidRPr="00E90BDC">
        <w:rPr>
          <w:rFonts w:ascii="Arial" w:hAnsi="Arial" w:cs="Arial"/>
          <w:i/>
          <w:lang w:val="mn-MN"/>
        </w:rPr>
        <w:tab/>
        <w:t>д/ ашиглалтын явцад эвдэрч гэмтсэнээс засвар шинэтгэл хийж ашиглахад эдийн засгийн хувьд үр ашиггүй нь тооцоогоор нотлогдсон эд хөрөнгө</w:t>
      </w:r>
      <w:r w:rsidR="00F7307B" w:rsidRPr="00E90BDC">
        <w:rPr>
          <w:rFonts w:ascii="Arial" w:hAnsi="Arial" w:cs="Arial"/>
          <w:i/>
          <w:lang w:val="mn-MN"/>
        </w:rPr>
        <w:t>.</w:t>
      </w:r>
    </w:p>
    <w:p w:rsidR="00B62E04" w:rsidRDefault="00B62E04" w:rsidP="00E90BDC">
      <w:pPr>
        <w:ind w:firstLine="720"/>
        <w:jc w:val="center"/>
        <w:rPr>
          <w:rFonts w:ascii="Arial" w:hAnsi="Arial" w:cs="Arial"/>
          <w:b/>
          <w:i/>
        </w:rPr>
      </w:pPr>
      <w:r w:rsidRPr="00E90BDC">
        <w:rPr>
          <w:rFonts w:ascii="Arial" w:hAnsi="Arial" w:cs="Arial"/>
          <w:b/>
          <w:i/>
          <w:lang w:val="mn-MN"/>
        </w:rPr>
        <w:t>Хоёр. Үндсэн хөрөнгийг данснаас хасах, санал ирүүлэх</w:t>
      </w:r>
    </w:p>
    <w:p w:rsidR="00CC49AC" w:rsidRPr="00E90BDC" w:rsidRDefault="00CC49AC" w:rsidP="00CC49AC">
      <w:pPr>
        <w:ind w:firstLine="720"/>
        <w:jc w:val="both"/>
        <w:rPr>
          <w:rFonts w:ascii="Arial" w:hAnsi="Arial" w:cs="Arial"/>
          <w:i/>
          <w:lang w:val="mn-MN"/>
        </w:rPr>
      </w:pPr>
      <w:r w:rsidRPr="00E90BDC">
        <w:rPr>
          <w:rFonts w:ascii="Arial" w:hAnsi="Arial" w:cs="Arial"/>
          <w:i/>
          <w:lang w:val="mn-MN"/>
        </w:rPr>
        <w:t>1. Орон нутгийн өмчит</w:t>
      </w:r>
      <w:r w:rsidR="00B74589" w:rsidRPr="00E90BDC">
        <w:rPr>
          <w:rFonts w:ascii="Arial" w:hAnsi="Arial" w:cs="Arial"/>
          <w:i/>
          <w:lang w:val="mn-MN"/>
        </w:rPr>
        <w:t xml:space="preserve"> хуулийн этгээд</w:t>
      </w:r>
      <w:r w:rsidR="003639A1" w:rsidRPr="00E90BDC">
        <w:rPr>
          <w:rFonts w:ascii="Arial" w:hAnsi="Arial" w:cs="Arial"/>
          <w:i/>
          <w:lang w:val="mn-MN"/>
        </w:rPr>
        <w:t xml:space="preserve"> /Өмч хамгаалах байнгын зөвлөл</w:t>
      </w:r>
      <w:r w:rsidRPr="00E90BDC">
        <w:rPr>
          <w:rFonts w:ascii="Arial" w:hAnsi="Arial" w:cs="Arial"/>
          <w:i/>
          <w:lang w:val="mn-MN"/>
        </w:rPr>
        <w:t>/-ийг Төрийн болон орон нутгийн өмчийн тухай хуулийн 31 дүгээр зүйлийн 4 дэх заалтын дагуу байгуулна.</w:t>
      </w:r>
    </w:p>
    <w:p w:rsidR="007A733C" w:rsidRPr="00E90BDC" w:rsidRDefault="007A733C" w:rsidP="00CC49AC">
      <w:pPr>
        <w:ind w:firstLine="720"/>
        <w:jc w:val="both"/>
        <w:rPr>
          <w:rFonts w:ascii="Arial" w:hAnsi="Arial" w:cs="Arial"/>
          <w:i/>
          <w:lang w:val="mn-MN"/>
        </w:rPr>
      </w:pPr>
      <w:r w:rsidRPr="00E90BDC">
        <w:rPr>
          <w:rFonts w:ascii="Arial" w:hAnsi="Arial" w:cs="Arial"/>
          <w:i/>
          <w:lang w:val="mn-MN"/>
        </w:rPr>
        <w:t xml:space="preserve">2. </w:t>
      </w:r>
      <w:r w:rsidR="00212033" w:rsidRPr="00E90BDC">
        <w:rPr>
          <w:rFonts w:ascii="Arial" w:hAnsi="Arial" w:cs="Arial"/>
          <w:i/>
          <w:lang w:val="mn-MN"/>
        </w:rPr>
        <w:t xml:space="preserve">Орон нутийн өмчит </w:t>
      </w:r>
      <w:r w:rsidR="002B4E8D" w:rsidRPr="00E90BDC">
        <w:rPr>
          <w:rFonts w:ascii="Arial" w:hAnsi="Arial" w:cs="Arial"/>
          <w:i/>
          <w:lang w:val="mn-MN"/>
        </w:rPr>
        <w:t>хуулийн этгээд нь байгууллагын Ө</w:t>
      </w:r>
      <w:r w:rsidR="00212033" w:rsidRPr="00E90BDC">
        <w:rPr>
          <w:rFonts w:ascii="Arial" w:hAnsi="Arial" w:cs="Arial"/>
          <w:i/>
          <w:lang w:val="mn-MN"/>
        </w:rPr>
        <w:t>мч хамгаалах байнгын зөвлөлийн үндсэн хөрөнгө данснаас х</w:t>
      </w:r>
      <w:r w:rsidR="00EF4713" w:rsidRPr="00E90BDC">
        <w:rPr>
          <w:rFonts w:ascii="Arial" w:hAnsi="Arial" w:cs="Arial"/>
          <w:i/>
          <w:lang w:val="mn-MN"/>
        </w:rPr>
        <w:t>асах тухай дүгнэлтийг үндэслэн аймгийн О</w:t>
      </w:r>
      <w:r w:rsidR="00212033" w:rsidRPr="00E90BDC">
        <w:rPr>
          <w:rFonts w:ascii="Arial" w:hAnsi="Arial" w:cs="Arial"/>
          <w:i/>
          <w:lang w:val="mn-MN"/>
        </w:rPr>
        <w:t>рон нутгийн өмчийн албанд саналаа ирүүлнэ.</w:t>
      </w:r>
    </w:p>
    <w:p w:rsidR="00212033" w:rsidRPr="00E90BDC" w:rsidRDefault="00212033" w:rsidP="00CC49AC">
      <w:pPr>
        <w:ind w:firstLine="720"/>
        <w:jc w:val="both"/>
        <w:rPr>
          <w:rFonts w:ascii="Arial" w:hAnsi="Arial" w:cs="Arial"/>
          <w:i/>
          <w:lang w:val="mn-MN"/>
        </w:rPr>
      </w:pPr>
      <w:r w:rsidRPr="00E90BDC">
        <w:rPr>
          <w:rFonts w:ascii="Arial" w:hAnsi="Arial" w:cs="Arial"/>
          <w:i/>
          <w:lang w:val="mn-MN"/>
        </w:rPr>
        <w:t xml:space="preserve">3. </w:t>
      </w:r>
      <w:r w:rsidR="00C95E1C" w:rsidRPr="00E90BDC">
        <w:rPr>
          <w:rFonts w:ascii="Arial" w:hAnsi="Arial" w:cs="Arial"/>
          <w:i/>
          <w:lang w:val="mn-MN"/>
        </w:rPr>
        <w:t xml:space="preserve">Саналд дараахь </w:t>
      </w:r>
      <w:r w:rsidR="00A34C44" w:rsidRPr="00E90BDC">
        <w:rPr>
          <w:rFonts w:ascii="Arial" w:hAnsi="Arial" w:cs="Arial"/>
          <w:i/>
          <w:lang w:val="mn-MN"/>
        </w:rPr>
        <w:t>зүйлийг тусгана.</w:t>
      </w:r>
    </w:p>
    <w:p w:rsidR="00A34C44" w:rsidRPr="00E90BDC" w:rsidRDefault="00A34C44" w:rsidP="00CC49AC">
      <w:pPr>
        <w:ind w:firstLine="720"/>
        <w:jc w:val="both"/>
        <w:rPr>
          <w:rFonts w:ascii="Arial" w:hAnsi="Arial" w:cs="Arial"/>
          <w:i/>
          <w:lang w:val="mn-MN"/>
        </w:rPr>
      </w:pPr>
      <w:r w:rsidRPr="00E90BDC">
        <w:rPr>
          <w:rFonts w:ascii="Arial" w:hAnsi="Arial" w:cs="Arial"/>
          <w:i/>
          <w:lang w:val="mn-MN"/>
        </w:rPr>
        <w:tab/>
        <w:t>а/ данснаас хасах эд хөрөнгийн тодорхойлолт, тоо хэмжээ</w:t>
      </w:r>
    </w:p>
    <w:p w:rsidR="00A34C44" w:rsidRPr="00E90BDC" w:rsidRDefault="00A34C44" w:rsidP="00CC49AC">
      <w:pPr>
        <w:ind w:firstLine="720"/>
        <w:jc w:val="both"/>
        <w:rPr>
          <w:rFonts w:ascii="Arial" w:hAnsi="Arial" w:cs="Arial"/>
          <w:i/>
          <w:lang w:val="mn-MN"/>
        </w:rPr>
      </w:pPr>
      <w:r w:rsidRPr="00E90BDC">
        <w:rPr>
          <w:rFonts w:ascii="Arial" w:hAnsi="Arial" w:cs="Arial"/>
          <w:i/>
          <w:lang w:val="mn-MN"/>
        </w:rPr>
        <w:tab/>
        <w:t>б/ балансын анхны үнэ</w:t>
      </w:r>
      <w:r w:rsidR="00C95E1C" w:rsidRPr="00E90BDC">
        <w:rPr>
          <w:rFonts w:ascii="Arial" w:hAnsi="Arial" w:cs="Arial"/>
          <w:i/>
          <w:lang w:val="mn-MN"/>
        </w:rPr>
        <w:t xml:space="preserve">, элэгдэл </w:t>
      </w:r>
    </w:p>
    <w:p w:rsidR="00A34C44" w:rsidRPr="00E90BDC" w:rsidRDefault="00A34C44" w:rsidP="00CC49AC">
      <w:pPr>
        <w:ind w:firstLine="720"/>
        <w:jc w:val="both"/>
        <w:rPr>
          <w:rFonts w:ascii="Arial" w:hAnsi="Arial" w:cs="Arial"/>
          <w:i/>
          <w:lang w:val="mn-MN"/>
        </w:rPr>
      </w:pPr>
      <w:r w:rsidRPr="00E90BDC">
        <w:rPr>
          <w:rFonts w:ascii="Arial" w:hAnsi="Arial" w:cs="Arial"/>
          <w:i/>
          <w:lang w:val="mn-MN"/>
        </w:rPr>
        <w:tab/>
        <w:t xml:space="preserve">в/ </w:t>
      </w:r>
      <w:r w:rsidR="009D2FF9" w:rsidRPr="00E90BDC">
        <w:rPr>
          <w:rFonts w:ascii="Arial" w:hAnsi="Arial" w:cs="Arial"/>
          <w:i/>
          <w:lang w:val="mn-MN"/>
        </w:rPr>
        <w:t>ашиглагдсан хугацаа</w:t>
      </w:r>
    </w:p>
    <w:p w:rsidR="009D2FF9" w:rsidRPr="00E90BDC" w:rsidRDefault="009D2FF9" w:rsidP="00CC49AC">
      <w:pPr>
        <w:ind w:firstLine="720"/>
        <w:jc w:val="both"/>
        <w:rPr>
          <w:rFonts w:ascii="Arial" w:hAnsi="Arial" w:cs="Arial"/>
          <w:i/>
          <w:lang w:val="mn-MN"/>
        </w:rPr>
      </w:pPr>
      <w:r w:rsidRPr="00E90BDC">
        <w:rPr>
          <w:rFonts w:ascii="Arial" w:hAnsi="Arial" w:cs="Arial"/>
          <w:i/>
          <w:lang w:val="mn-MN"/>
        </w:rPr>
        <w:tab/>
        <w:t>г/ үлдэгдэл өртөг</w:t>
      </w:r>
    </w:p>
    <w:p w:rsidR="009D2FF9" w:rsidRPr="00E90BDC" w:rsidRDefault="009D2FF9" w:rsidP="00CC49AC">
      <w:pPr>
        <w:ind w:firstLine="720"/>
        <w:jc w:val="both"/>
        <w:rPr>
          <w:rFonts w:ascii="Arial" w:hAnsi="Arial" w:cs="Arial"/>
          <w:i/>
          <w:lang w:val="mn-MN"/>
        </w:rPr>
      </w:pPr>
      <w:r w:rsidRPr="00E90BDC">
        <w:rPr>
          <w:rFonts w:ascii="Arial" w:hAnsi="Arial" w:cs="Arial"/>
          <w:i/>
          <w:lang w:val="mn-MN"/>
        </w:rPr>
        <w:tab/>
        <w:t>д/ байгалийн гэнэтийн аюул, техникийн осолд өртсөн эд хөрөнгийн шалтгааны тухай холбогдох байгууллагын акт, дүгнэлт</w:t>
      </w:r>
    </w:p>
    <w:p w:rsidR="009D2FF9" w:rsidRPr="00E90BDC" w:rsidRDefault="009D2FF9" w:rsidP="00CC49AC">
      <w:pPr>
        <w:ind w:firstLine="720"/>
        <w:jc w:val="both"/>
        <w:rPr>
          <w:rFonts w:ascii="Arial" w:hAnsi="Arial" w:cs="Arial"/>
          <w:i/>
          <w:lang w:val="mn-MN"/>
        </w:rPr>
      </w:pPr>
      <w:r w:rsidRPr="00E90BDC">
        <w:rPr>
          <w:rFonts w:ascii="Arial" w:hAnsi="Arial" w:cs="Arial"/>
          <w:i/>
          <w:lang w:val="mn-MN"/>
        </w:rPr>
        <w:lastRenderedPageBreak/>
        <w:tab/>
        <w:t>е/ тээврийн хэрэгсэл, тоног төхөөрөмж, компьютер болон бусад эд хөрөнгийн хувийн хэрэг, ашиглалтын хугацаанд</w:t>
      </w:r>
      <w:r w:rsidR="00C95E1C" w:rsidRPr="00E90BDC">
        <w:rPr>
          <w:rFonts w:ascii="Arial" w:hAnsi="Arial" w:cs="Arial"/>
          <w:i/>
          <w:lang w:val="mn-MN"/>
        </w:rPr>
        <w:t xml:space="preserve"> сүүлийн 3 жилд</w:t>
      </w:r>
      <w:r w:rsidRPr="00E90BDC">
        <w:rPr>
          <w:rFonts w:ascii="Arial" w:hAnsi="Arial" w:cs="Arial"/>
          <w:i/>
          <w:lang w:val="mn-MN"/>
        </w:rPr>
        <w:t xml:space="preserve"> гарсан нэмэгдэл зардал /сэлбэг, агергатуудыг шинээр авч тавьсан он, сар, өдөртэй гаргасан жагсаалт/</w:t>
      </w:r>
    </w:p>
    <w:p w:rsidR="009D2FF9" w:rsidRPr="00E90BDC" w:rsidRDefault="009D2FF9" w:rsidP="00CC49AC">
      <w:pPr>
        <w:ind w:firstLine="720"/>
        <w:jc w:val="both"/>
        <w:rPr>
          <w:rFonts w:ascii="Arial" w:hAnsi="Arial" w:cs="Arial"/>
          <w:i/>
          <w:lang w:val="mn-MN"/>
        </w:rPr>
      </w:pPr>
      <w:r w:rsidRPr="00E90BDC">
        <w:rPr>
          <w:rFonts w:ascii="Arial" w:hAnsi="Arial" w:cs="Arial"/>
          <w:i/>
          <w:lang w:val="mn-MN"/>
        </w:rPr>
        <w:tab/>
        <w:t>ё/ данснаас хасах болсон шалтгаан</w:t>
      </w:r>
    </w:p>
    <w:p w:rsidR="009D2FF9" w:rsidRPr="00E90BDC" w:rsidRDefault="00CD52CE" w:rsidP="00CC49AC">
      <w:pPr>
        <w:ind w:firstLine="720"/>
        <w:jc w:val="both"/>
        <w:rPr>
          <w:rFonts w:ascii="Arial" w:hAnsi="Arial" w:cs="Arial"/>
          <w:i/>
          <w:lang w:val="mn-MN"/>
        </w:rPr>
      </w:pPr>
      <w:r w:rsidRPr="00E90BDC">
        <w:rPr>
          <w:rFonts w:ascii="Arial" w:hAnsi="Arial" w:cs="Arial"/>
          <w:i/>
          <w:lang w:val="mn-MN"/>
        </w:rPr>
        <w:tab/>
        <w:t xml:space="preserve">ж/ Дээрхи саналыг бичгээр болон цахим хэлбэрээр ирүүлнэ. </w:t>
      </w:r>
    </w:p>
    <w:p w:rsidR="00686265" w:rsidRPr="00C51AE9" w:rsidRDefault="009D2FF9" w:rsidP="00686265">
      <w:pPr>
        <w:ind w:firstLine="720"/>
        <w:jc w:val="both"/>
        <w:rPr>
          <w:rFonts w:ascii="Arial" w:hAnsi="Arial" w:cs="Arial"/>
          <w:i/>
          <w:color w:val="0070C0"/>
          <w:lang w:val="mn-MN"/>
        </w:rPr>
      </w:pPr>
      <w:r w:rsidRPr="00E90BDC">
        <w:rPr>
          <w:rFonts w:ascii="Arial" w:hAnsi="Arial" w:cs="Arial"/>
          <w:i/>
          <w:lang w:val="mn-MN"/>
        </w:rPr>
        <w:t xml:space="preserve">4. </w:t>
      </w:r>
      <w:r w:rsidR="00686265" w:rsidRPr="00C51AE9">
        <w:rPr>
          <w:rFonts w:ascii="Arial" w:hAnsi="Arial" w:cs="Arial"/>
          <w:i/>
          <w:color w:val="0070C0"/>
          <w:lang w:val="mn-MN"/>
        </w:rPr>
        <w:t>Орон нутгийн өмчийн албанд уг саналыг хүлээн авч эд хөрөнгийг газар дээр нь нягтлан шалгаад зохих шийдвэр гартал эд хөрөнгийг байгууллагын удирдлагад хариуцуулж тэр тухай тэмдэглэл үйлдэж гарын үсэг зурна. Хариуцуулж өгсөн эд хөрөнгийн бүрэн бүтэн байдал алдагдвал хариуцлагыг байгууллагын дарга хүлээнэ.</w:t>
      </w:r>
    </w:p>
    <w:p w:rsidR="004A14A1" w:rsidRPr="00E90BDC" w:rsidRDefault="004A14A1" w:rsidP="00686265">
      <w:pPr>
        <w:ind w:firstLine="720"/>
        <w:jc w:val="both"/>
        <w:rPr>
          <w:rFonts w:ascii="Arial" w:hAnsi="Arial" w:cs="Arial"/>
          <w:i/>
          <w:lang w:val="mn-MN"/>
        </w:rPr>
      </w:pPr>
      <w:r w:rsidRPr="00E90BDC">
        <w:rPr>
          <w:rFonts w:ascii="Arial" w:hAnsi="Arial" w:cs="Arial"/>
          <w:i/>
          <w:lang w:val="mn-MN"/>
        </w:rPr>
        <w:t>5. Өмч хамгаалах байнгын зөвлөл нь үндсэн хөрөнгийг данснаас хасах шийдвэр гаргахдаа дараахи зүйлсийг хамтатган шийдвэрлэнэ.</w:t>
      </w:r>
    </w:p>
    <w:p w:rsidR="004A14A1" w:rsidRPr="00E90BDC" w:rsidRDefault="004A14A1" w:rsidP="00686265">
      <w:pPr>
        <w:ind w:firstLine="720"/>
        <w:jc w:val="both"/>
        <w:rPr>
          <w:rFonts w:ascii="Arial" w:hAnsi="Arial" w:cs="Arial"/>
          <w:i/>
          <w:lang w:val="mn-MN"/>
        </w:rPr>
      </w:pPr>
      <w:r w:rsidRPr="00E90BDC">
        <w:rPr>
          <w:rFonts w:ascii="Arial" w:hAnsi="Arial" w:cs="Arial"/>
          <w:i/>
          <w:lang w:val="mn-MN"/>
        </w:rPr>
        <w:tab/>
        <w:t>а/ эд хөрөнгийг худалдах</w:t>
      </w:r>
    </w:p>
    <w:p w:rsidR="004A14A1" w:rsidRPr="00E90BDC" w:rsidRDefault="004A14A1" w:rsidP="00686265">
      <w:pPr>
        <w:ind w:firstLine="720"/>
        <w:jc w:val="both"/>
        <w:rPr>
          <w:rFonts w:ascii="Arial" w:hAnsi="Arial" w:cs="Arial"/>
          <w:i/>
          <w:lang w:val="mn-MN"/>
        </w:rPr>
      </w:pPr>
      <w:r w:rsidRPr="00E90BDC">
        <w:rPr>
          <w:rFonts w:ascii="Arial" w:hAnsi="Arial" w:cs="Arial"/>
          <w:i/>
          <w:lang w:val="mn-MN"/>
        </w:rPr>
        <w:tab/>
        <w:t>б/ орон нутийн өмчийн албанд шилжүүлэх</w:t>
      </w:r>
    </w:p>
    <w:p w:rsidR="004A14A1" w:rsidRPr="00E90BDC" w:rsidRDefault="004A14A1" w:rsidP="00686265">
      <w:pPr>
        <w:ind w:firstLine="720"/>
        <w:jc w:val="both"/>
        <w:rPr>
          <w:rFonts w:ascii="Arial" w:hAnsi="Arial" w:cs="Arial"/>
          <w:i/>
          <w:lang w:val="mn-MN"/>
        </w:rPr>
      </w:pPr>
      <w:r w:rsidRPr="00E90BDC">
        <w:rPr>
          <w:rFonts w:ascii="Arial" w:hAnsi="Arial" w:cs="Arial"/>
          <w:i/>
          <w:lang w:val="mn-MN"/>
        </w:rPr>
        <w:tab/>
        <w:t>в/ сэлбэг материал, хоёрдагч түүхий эд болгон ашиглах</w:t>
      </w:r>
    </w:p>
    <w:p w:rsidR="004A14A1" w:rsidRPr="00E90BDC" w:rsidRDefault="004A14A1" w:rsidP="00686265">
      <w:pPr>
        <w:ind w:firstLine="720"/>
        <w:jc w:val="both"/>
        <w:rPr>
          <w:rFonts w:ascii="Arial" w:hAnsi="Arial" w:cs="Arial"/>
          <w:i/>
          <w:lang w:val="mn-MN"/>
        </w:rPr>
      </w:pPr>
      <w:r w:rsidRPr="00E90BDC">
        <w:rPr>
          <w:rFonts w:ascii="Arial" w:hAnsi="Arial" w:cs="Arial"/>
          <w:i/>
          <w:lang w:val="mn-MN"/>
        </w:rPr>
        <w:tab/>
        <w:t>г/ актлаж устгах</w:t>
      </w:r>
    </w:p>
    <w:p w:rsidR="004A14A1" w:rsidRPr="00E90BDC" w:rsidRDefault="004A14A1" w:rsidP="00E90BDC">
      <w:pPr>
        <w:jc w:val="center"/>
        <w:rPr>
          <w:rFonts w:ascii="Arial" w:hAnsi="Arial" w:cs="Arial"/>
          <w:b/>
          <w:i/>
          <w:lang w:val="mn-MN"/>
        </w:rPr>
      </w:pPr>
      <w:r w:rsidRPr="00E90BDC">
        <w:rPr>
          <w:rFonts w:ascii="Arial" w:hAnsi="Arial" w:cs="Arial"/>
          <w:b/>
          <w:i/>
          <w:lang w:val="mn-MN"/>
        </w:rPr>
        <w:t>Гурав. Үндсэн хөрөнгийг хувьчлалаас гадуур худалдах</w:t>
      </w:r>
    </w:p>
    <w:p w:rsidR="004A14A1" w:rsidRPr="00E90BDC" w:rsidRDefault="00AA2501" w:rsidP="00AA2501">
      <w:pPr>
        <w:ind w:firstLine="720"/>
        <w:jc w:val="both"/>
        <w:rPr>
          <w:rFonts w:ascii="Arial" w:hAnsi="Arial" w:cs="Arial"/>
          <w:i/>
          <w:lang w:val="mn-MN"/>
        </w:rPr>
      </w:pPr>
      <w:r w:rsidRPr="00E90BDC">
        <w:rPr>
          <w:rFonts w:ascii="Arial" w:hAnsi="Arial" w:cs="Arial"/>
          <w:i/>
          <w:lang w:val="mn-MN"/>
        </w:rPr>
        <w:t>1. Орон нутгийн өмчийн хуулийн этгээдийн данснаас хасах үндсэн хөрөнгийг худалдах шийдвэр гарсан бол Төрийн болон орон нутгийн өмчийн тухай хуулийн дагуу дуудлагаар худалдана.</w:t>
      </w:r>
    </w:p>
    <w:p w:rsidR="00AA2501" w:rsidRPr="00E90BDC" w:rsidRDefault="00AA2501" w:rsidP="00AA2501">
      <w:pPr>
        <w:ind w:firstLine="720"/>
        <w:jc w:val="both"/>
        <w:rPr>
          <w:rFonts w:ascii="Arial" w:hAnsi="Arial" w:cs="Arial"/>
          <w:i/>
          <w:lang w:val="mn-MN"/>
        </w:rPr>
      </w:pPr>
      <w:r w:rsidRPr="00E90BDC">
        <w:rPr>
          <w:rFonts w:ascii="Arial" w:hAnsi="Arial" w:cs="Arial"/>
          <w:i/>
          <w:lang w:val="mn-MN"/>
        </w:rPr>
        <w:t>2. Дуудлаг</w:t>
      </w:r>
      <w:r w:rsidR="004D2A75" w:rsidRPr="00E90BDC">
        <w:rPr>
          <w:rFonts w:ascii="Arial" w:hAnsi="Arial" w:cs="Arial"/>
          <w:i/>
          <w:lang w:val="mn-MN"/>
        </w:rPr>
        <w:t>ын худалдаанд оруулах анхны үнийн саналыг Өмч хамгаалах байнгын зөвлөл Орон нутгийн өмчийн албанд хүргүүлнэ.</w:t>
      </w:r>
    </w:p>
    <w:p w:rsidR="000F42B4" w:rsidRPr="00E90BDC" w:rsidRDefault="000F42B4" w:rsidP="00AA2501">
      <w:pPr>
        <w:ind w:firstLine="720"/>
        <w:jc w:val="both"/>
        <w:rPr>
          <w:rFonts w:ascii="Arial" w:hAnsi="Arial" w:cs="Arial"/>
          <w:i/>
          <w:lang w:val="mn-MN"/>
        </w:rPr>
      </w:pPr>
      <w:r w:rsidRPr="00E90BDC">
        <w:rPr>
          <w:rFonts w:ascii="Arial" w:hAnsi="Arial" w:cs="Arial"/>
          <w:i/>
          <w:lang w:val="mn-MN"/>
        </w:rPr>
        <w:t>3. Өмч хамгаалах байнгын зөвлөлийн шийдвэрийг үндэслэн Орон нутгийн өмчийн алба аймгийн ИТХ-ын Тэргүүлэгчдийн хуралд оруулан шийдвэрлүүлж дуудлага худалдаагаар зохион байгуулна.</w:t>
      </w:r>
    </w:p>
    <w:p w:rsidR="006129D2" w:rsidRPr="00E90BDC" w:rsidRDefault="000F42B4" w:rsidP="006129D2">
      <w:pPr>
        <w:ind w:firstLine="720"/>
        <w:jc w:val="both"/>
        <w:rPr>
          <w:rFonts w:ascii="Arial" w:hAnsi="Arial" w:cs="Arial"/>
          <w:i/>
          <w:lang w:val="mn-MN"/>
        </w:rPr>
      </w:pPr>
      <w:r w:rsidRPr="00E90BDC">
        <w:rPr>
          <w:rFonts w:ascii="Arial" w:hAnsi="Arial" w:cs="Arial"/>
          <w:i/>
          <w:lang w:val="mn-MN"/>
        </w:rPr>
        <w:t xml:space="preserve">4. </w:t>
      </w:r>
      <w:r w:rsidR="0010720E" w:rsidRPr="00E90BDC">
        <w:rPr>
          <w:rFonts w:ascii="Arial" w:hAnsi="Arial" w:cs="Arial"/>
          <w:i/>
          <w:lang w:val="mn-MN"/>
        </w:rPr>
        <w:t>Дуудлага</w:t>
      </w:r>
      <w:r w:rsidR="006129D2" w:rsidRPr="00E90BDC">
        <w:rPr>
          <w:rFonts w:ascii="Arial" w:hAnsi="Arial" w:cs="Arial"/>
          <w:i/>
          <w:lang w:val="mn-MN"/>
        </w:rPr>
        <w:t xml:space="preserve"> худалдааг явуулахдаа Төрийн болон орон нутгийн өмчийн тухай хуулийн 41 дүгээр зүйлд заасан “Дуудлагын худалдаа явуулах нийтлэг журам”-ыг баримтлана.</w:t>
      </w:r>
    </w:p>
    <w:p w:rsidR="006129D2" w:rsidRPr="00C51AE9" w:rsidRDefault="006129D2" w:rsidP="006129D2">
      <w:pPr>
        <w:ind w:firstLine="720"/>
        <w:jc w:val="both"/>
        <w:rPr>
          <w:rFonts w:ascii="Arial" w:hAnsi="Arial" w:cs="Arial"/>
          <w:i/>
          <w:color w:val="0070C0"/>
          <w:lang w:val="mn-MN"/>
        </w:rPr>
      </w:pPr>
      <w:r w:rsidRPr="00E90BDC">
        <w:rPr>
          <w:rFonts w:ascii="Arial" w:hAnsi="Arial" w:cs="Arial"/>
          <w:i/>
          <w:lang w:val="mn-MN"/>
        </w:rPr>
        <w:t xml:space="preserve">5. </w:t>
      </w:r>
      <w:r w:rsidRPr="00C51AE9">
        <w:rPr>
          <w:rFonts w:ascii="Arial" w:hAnsi="Arial" w:cs="Arial"/>
          <w:i/>
          <w:color w:val="0070C0"/>
          <w:lang w:val="mn-MN"/>
        </w:rPr>
        <w:t xml:space="preserve">Орон нутгийн өмчит хуулийн этгээд нь эзэмшилдээ байгаа ашиглах хугацаа нь дууссан буюу эсвэл ашиглах хугацаа нь дуусаагүй боловч осол гэмтлийн улмаас ашиглах боломжгүй болсон, хоцрогдолд орсон зэрэг дуудлага худалдаанд оруулах шаардлага хангахгүй үндсэн хөрөнгийг </w:t>
      </w:r>
      <w:r w:rsidR="00097B0B" w:rsidRPr="00C51AE9">
        <w:rPr>
          <w:rFonts w:ascii="Arial" w:hAnsi="Arial" w:cs="Arial"/>
          <w:i/>
          <w:color w:val="0070C0"/>
          <w:lang w:val="mn-MN"/>
        </w:rPr>
        <w:t xml:space="preserve">аймгийн </w:t>
      </w:r>
      <w:r w:rsidRPr="00C51AE9">
        <w:rPr>
          <w:rFonts w:ascii="Arial" w:hAnsi="Arial" w:cs="Arial"/>
          <w:i/>
          <w:color w:val="0070C0"/>
          <w:lang w:val="mn-MN"/>
        </w:rPr>
        <w:t>Орон нут</w:t>
      </w:r>
      <w:r w:rsidR="00C51AE9" w:rsidRPr="00C51AE9">
        <w:rPr>
          <w:rFonts w:ascii="Arial" w:hAnsi="Arial" w:cs="Arial"/>
          <w:i/>
          <w:color w:val="0070C0"/>
          <w:lang w:val="mn-MN"/>
        </w:rPr>
        <w:t>г</w:t>
      </w:r>
      <w:r w:rsidRPr="00C51AE9">
        <w:rPr>
          <w:rFonts w:ascii="Arial" w:hAnsi="Arial" w:cs="Arial"/>
          <w:i/>
          <w:color w:val="0070C0"/>
          <w:lang w:val="mn-MN"/>
        </w:rPr>
        <w:t>ийн өм</w:t>
      </w:r>
      <w:r w:rsidR="0063730C" w:rsidRPr="00C51AE9">
        <w:rPr>
          <w:rFonts w:ascii="Arial" w:hAnsi="Arial" w:cs="Arial"/>
          <w:i/>
          <w:color w:val="0070C0"/>
          <w:lang w:val="mn-MN"/>
        </w:rPr>
        <w:t>чийн албаны зөвшөөрлөөр худалдан</w:t>
      </w:r>
      <w:r w:rsidRPr="00C51AE9">
        <w:rPr>
          <w:rFonts w:ascii="Arial" w:hAnsi="Arial" w:cs="Arial"/>
          <w:i/>
          <w:color w:val="0070C0"/>
          <w:lang w:val="mn-MN"/>
        </w:rPr>
        <w:t xml:space="preserve"> авах, байгууллага хүмүүст худалдаж болно.</w:t>
      </w:r>
    </w:p>
    <w:p w:rsidR="006129D2" w:rsidRPr="00E90BDC" w:rsidRDefault="006129D2" w:rsidP="00DD1E3F">
      <w:pPr>
        <w:ind w:firstLine="720"/>
        <w:jc w:val="both"/>
        <w:rPr>
          <w:rFonts w:ascii="Arial" w:hAnsi="Arial" w:cs="Arial"/>
          <w:i/>
          <w:lang w:val="mn-MN"/>
        </w:rPr>
      </w:pPr>
      <w:r w:rsidRPr="00E90BDC">
        <w:rPr>
          <w:rFonts w:ascii="Arial" w:hAnsi="Arial" w:cs="Arial"/>
          <w:i/>
          <w:lang w:val="mn-MN"/>
        </w:rPr>
        <w:t xml:space="preserve">6. </w:t>
      </w:r>
      <w:r w:rsidRPr="00C51AE9">
        <w:rPr>
          <w:rFonts w:ascii="Arial" w:hAnsi="Arial" w:cs="Arial"/>
          <w:i/>
          <w:color w:val="0070C0"/>
          <w:lang w:val="mn-MN"/>
        </w:rPr>
        <w:t xml:space="preserve">Орон нутгийн өмчит аж ахуйн газар  болон төсөвт газруудын үндсэн хөрөнгө худалдсанаас орох орлогыг 100 хувь, </w:t>
      </w:r>
      <w:r w:rsidRPr="00E90BDC">
        <w:rPr>
          <w:rFonts w:ascii="Arial" w:hAnsi="Arial" w:cs="Arial"/>
          <w:i/>
          <w:lang w:val="mn-MN"/>
        </w:rPr>
        <w:t>аж ахуйн тооцоот үйлдвэрийн газрын хувьд 50 хувийг тус тус Орон нутийн өмчийн албаны дансанд оруулна.</w:t>
      </w:r>
      <w:r w:rsidR="00DD1E3F" w:rsidRPr="00E90BDC">
        <w:rPr>
          <w:rFonts w:ascii="Arial" w:hAnsi="Arial" w:cs="Arial"/>
          <w:i/>
          <w:lang w:val="mn-MN"/>
        </w:rPr>
        <w:t xml:space="preserve"> Аж ахуйн тооцоот үйлдвэрийн газар нь үндсэн хөрөнгө худалдаж авах болон сэргээн засварлах зорилгоор үлдсэн хувийг ашиглана.</w:t>
      </w:r>
    </w:p>
    <w:p w:rsidR="00D063FA" w:rsidRPr="00E90BDC" w:rsidRDefault="00D063FA" w:rsidP="00DD1E3F">
      <w:pPr>
        <w:ind w:firstLine="720"/>
        <w:jc w:val="both"/>
        <w:rPr>
          <w:rFonts w:ascii="Arial" w:hAnsi="Arial" w:cs="Arial"/>
          <w:b/>
          <w:i/>
        </w:rPr>
      </w:pPr>
    </w:p>
    <w:p w:rsidR="00DD1E3F" w:rsidRPr="00E90BDC" w:rsidRDefault="00E06640" w:rsidP="00E90BDC">
      <w:pPr>
        <w:ind w:firstLine="720"/>
        <w:jc w:val="center"/>
        <w:rPr>
          <w:rFonts w:ascii="Arial" w:hAnsi="Arial" w:cs="Arial"/>
          <w:b/>
          <w:i/>
          <w:lang w:val="mn-MN"/>
        </w:rPr>
      </w:pPr>
      <w:r w:rsidRPr="00E90BDC">
        <w:rPr>
          <w:rFonts w:ascii="Arial" w:hAnsi="Arial" w:cs="Arial"/>
          <w:b/>
          <w:i/>
          <w:lang w:val="mn-MN"/>
        </w:rPr>
        <w:lastRenderedPageBreak/>
        <w:t>Дөрөв. Үндсэн хөрөнгийг шилжүүлэх</w:t>
      </w:r>
    </w:p>
    <w:p w:rsidR="00E06640" w:rsidRPr="00E90BDC" w:rsidRDefault="0051751F" w:rsidP="0051751F">
      <w:pPr>
        <w:ind w:firstLine="720"/>
        <w:jc w:val="both"/>
        <w:rPr>
          <w:rFonts w:ascii="Arial" w:hAnsi="Arial" w:cs="Arial"/>
          <w:i/>
          <w:lang w:val="mn-MN"/>
        </w:rPr>
      </w:pPr>
      <w:r w:rsidRPr="00E90BDC">
        <w:rPr>
          <w:rFonts w:ascii="Arial" w:hAnsi="Arial" w:cs="Arial"/>
          <w:i/>
          <w:lang w:val="mn-MN"/>
        </w:rPr>
        <w:t>1.</w:t>
      </w:r>
      <w:r w:rsidR="006E31EF" w:rsidRPr="00E90BDC">
        <w:rPr>
          <w:rFonts w:ascii="Arial" w:hAnsi="Arial" w:cs="Arial"/>
          <w:i/>
          <w:lang w:val="mn-MN"/>
        </w:rPr>
        <w:t xml:space="preserve"> </w:t>
      </w:r>
      <w:r w:rsidR="00E06640" w:rsidRPr="00E90BDC">
        <w:rPr>
          <w:rFonts w:ascii="Arial" w:hAnsi="Arial" w:cs="Arial"/>
          <w:i/>
          <w:lang w:val="mn-MN"/>
        </w:rPr>
        <w:t>Орон нутгийн өмчит хуулийн этгээдийн данснаас хасах үндсэн хөрөнгийг Өмч хамгаалах байнг</w:t>
      </w:r>
      <w:r w:rsidRPr="00E90BDC">
        <w:rPr>
          <w:rFonts w:ascii="Arial" w:hAnsi="Arial" w:cs="Arial"/>
          <w:i/>
          <w:lang w:val="mn-MN"/>
        </w:rPr>
        <w:t>ын зөвлөлийн саналыг харгалзан</w:t>
      </w:r>
      <w:r w:rsidR="00C001E1" w:rsidRPr="00E90BDC">
        <w:rPr>
          <w:rFonts w:ascii="Arial" w:hAnsi="Arial" w:cs="Arial"/>
          <w:i/>
          <w:lang w:val="mn-MN"/>
        </w:rPr>
        <w:t xml:space="preserve"> Орон нутгийн өмчийн алба нь </w:t>
      </w:r>
      <w:r w:rsidR="00716E6F" w:rsidRPr="00E90BDC">
        <w:rPr>
          <w:rFonts w:ascii="Arial" w:hAnsi="Arial" w:cs="Arial"/>
          <w:i/>
          <w:lang w:val="mn-MN"/>
        </w:rPr>
        <w:t xml:space="preserve">бусад </w:t>
      </w:r>
      <w:r w:rsidRPr="00E90BDC">
        <w:rPr>
          <w:rFonts w:ascii="Arial" w:hAnsi="Arial" w:cs="Arial"/>
          <w:i/>
          <w:lang w:val="mn-MN"/>
        </w:rPr>
        <w:t>хуулийн этгээдэд балансаас балансад шилжүүлж болно.</w:t>
      </w:r>
    </w:p>
    <w:p w:rsidR="0051751F" w:rsidRPr="00E90BDC" w:rsidRDefault="002364E0" w:rsidP="0051751F">
      <w:pPr>
        <w:ind w:firstLine="720"/>
        <w:jc w:val="both"/>
        <w:rPr>
          <w:rFonts w:ascii="Arial" w:hAnsi="Arial" w:cs="Arial"/>
          <w:i/>
          <w:lang w:val="mn-MN"/>
        </w:rPr>
      </w:pPr>
      <w:r w:rsidRPr="00E90BDC">
        <w:rPr>
          <w:rFonts w:ascii="Arial" w:hAnsi="Arial" w:cs="Arial"/>
          <w:i/>
          <w:lang w:val="mn-MN"/>
        </w:rPr>
        <w:t>2. Үндсэн хөрөнгө шилжүүлэхтэй холбогдон гарах зардлыг шилжүүлж авсан тал хариуцна.</w:t>
      </w:r>
    </w:p>
    <w:p w:rsidR="002364E0" w:rsidRPr="00E90BDC" w:rsidRDefault="002364E0" w:rsidP="00E90BDC">
      <w:pPr>
        <w:ind w:firstLine="720"/>
        <w:jc w:val="center"/>
        <w:rPr>
          <w:rFonts w:ascii="Arial" w:hAnsi="Arial" w:cs="Arial"/>
          <w:b/>
          <w:i/>
          <w:lang w:val="mn-MN"/>
        </w:rPr>
      </w:pPr>
      <w:r w:rsidRPr="00E90BDC">
        <w:rPr>
          <w:rFonts w:ascii="Arial" w:hAnsi="Arial" w:cs="Arial"/>
          <w:b/>
          <w:i/>
          <w:lang w:val="mn-MN"/>
        </w:rPr>
        <w:t>Тав. Үндсэн хөрөнгийг актлаж устгах</w:t>
      </w:r>
    </w:p>
    <w:p w:rsidR="00D46A9A" w:rsidRPr="00E90BDC" w:rsidRDefault="00D46A9A" w:rsidP="00D46A9A">
      <w:pPr>
        <w:ind w:firstLine="720"/>
        <w:jc w:val="both"/>
        <w:rPr>
          <w:rFonts w:ascii="Arial" w:hAnsi="Arial" w:cs="Arial"/>
          <w:i/>
          <w:lang w:val="mn-MN"/>
        </w:rPr>
      </w:pPr>
      <w:r w:rsidRPr="00E90BDC">
        <w:rPr>
          <w:rFonts w:ascii="Arial" w:hAnsi="Arial" w:cs="Arial"/>
          <w:i/>
          <w:lang w:val="mn-MN"/>
        </w:rPr>
        <w:t>1.</w:t>
      </w:r>
      <w:r w:rsidR="003B7E80" w:rsidRPr="00E90BDC">
        <w:rPr>
          <w:rFonts w:ascii="Arial" w:hAnsi="Arial" w:cs="Arial"/>
          <w:i/>
          <w:lang w:val="mn-MN"/>
        </w:rPr>
        <w:t xml:space="preserve"> </w:t>
      </w:r>
      <w:r w:rsidRPr="00E90BDC">
        <w:rPr>
          <w:rFonts w:ascii="Arial" w:hAnsi="Arial" w:cs="Arial"/>
          <w:i/>
          <w:lang w:val="mn-MN"/>
        </w:rPr>
        <w:t>Аймгийн Өмч хамгаалах байнгын зөвлөлөөс үндсэн хөрөнгийг актлаж, сэлбэг материал хоёрдагч түүхий эд болгон ашиглах буюу</w:t>
      </w:r>
      <w:r w:rsidR="00821BC8" w:rsidRPr="00E90BDC">
        <w:rPr>
          <w:rFonts w:ascii="Arial" w:hAnsi="Arial" w:cs="Arial"/>
          <w:i/>
          <w:lang w:val="mn-MN"/>
        </w:rPr>
        <w:t xml:space="preserve"> худалдах шийдвэр гаргасан бол о</w:t>
      </w:r>
      <w:r w:rsidRPr="00E90BDC">
        <w:rPr>
          <w:rFonts w:ascii="Arial" w:hAnsi="Arial" w:cs="Arial"/>
          <w:i/>
          <w:lang w:val="mn-MN"/>
        </w:rPr>
        <w:t>рон н</w:t>
      </w:r>
      <w:r w:rsidR="00E27AE7" w:rsidRPr="00E90BDC">
        <w:rPr>
          <w:rFonts w:ascii="Arial" w:hAnsi="Arial" w:cs="Arial"/>
          <w:i/>
          <w:lang w:val="mn-MN"/>
        </w:rPr>
        <w:t>утгийн өмчит хуулийн этгээдийн Ө</w:t>
      </w:r>
      <w:r w:rsidRPr="00E90BDC">
        <w:rPr>
          <w:rFonts w:ascii="Arial" w:hAnsi="Arial" w:cs="Arial"/>
          <w:i/>
          <w:lang w:val="mn-MN"/>
        </w:rPr>
        <w:t>мч хамгаалах байнгын зөвлөл энэ тухай акт үйлдэн эд хөрөнгийг тоо ширхэгээр нь гаргаж өөрийн орлогод авч данс бүртгэлд тусгана.</w:t>
      </w:r>
    </w:p>
    <w:p w:rsidR="00D46A9A" w:rsidRPr="00E90BDC" w:rsidRDefault="00D46A9A" w:rsidP="00D46A9A">
      <w:pPr>
        <w:jc w:val="both"/>
        <w:rPr>
          <w:rFonts w:ascii="Arial" w:hAnsi="Arial" w:cs="Arial"/>
          <w:i/>
          <w:lang w:val="mn-MN"/>
        </w:rPr>
      </w:pPr>
      <w:r w:rsidRPr="00E90BDC">
        <w:rPr>
          <w:rFonts w:ascii="Arial" w:hAnsi="Arial" w:cs="Arial"/>
          <w:i/>
          <w:lang w:val="mn-MN"/>
        </w:rPr>
        <w:tab/>
        <w:t xml:space="preserve">2. </w:t>
      </w:r>
      <w:r w:rsidR="00507CA7" w:rsidRPr="00E90BDC">
        <w:rPr>
          <w:rFonts w:ascii="Arial" w:hAnsi="Arial" w:cs="Arial"/>
          <w:i/>
          <w:lang w:val="mn-MN"/>
        </w:rPr>
        <w:t>Орлогод авсан тухайгаа аймгийн Орон нутгийн өмчийн алба</w:t>
      </w:r>
      <w:r w:rsidRPr="00E90BDC">
        <w:rPr>
          <w:rFonts w:ascii="Arial" w:hAnsi="Arial" w:cs="Arial"/>
          <w:i/>
          <w:lang w:val="mn-MN"/>
        </w:rPr>
        <w:t xml:space="preserve"> тухай бүр нь мэдээлж бүртгэлд хамруулна.</w:t>
      </w:r>
    </w:p>
    <w:p w:rsidR="00D46A9A" w:rsidRPr="00C51AE9" w:rsidRDefault="00D46A9A" w:rsidP="00D46A9A">
      <w:pPr>
        <w:jc w:val="both"/>
        <w:rPr>
          <w:rFonts w:ascii="Arial" w:hAnsi="Arial" w:cs="Arial"/>
          <w:i/>
          <w:color w:val="0070C0"/>
          <w:lang w:val="mn-MN"/>
        </w:rPr>
      </w:pPr>
      <w:r w:rsidRPr="00E90BDC">
        <w:rPr>
          <w:rFonts w:ascii="Arial" w:hAnsi="Arial" w:cs="Arial"/>
          <w:i/>
          <w:lang w:val="mn-MN"/>
        </w:rPr>
        <w:tab/>
        <w:t xml:space="preserve">3. </w:t>
      </w:r>
      <w:r w:rsidRPr="00C51AE9">
        <w:rPr>
          <w:rFonts w:ascii="Arial" w:hAnsi="Arial" w:cs="Arial"/>
          <w:i/>
          <w:color w:val="0070C0"/>
          <w:lang w:val="mn-MN"/>
        </w:rPr>
        <w:t>Данснаас хасах үндсэн хөрөнгийг цаашид ашиглах боломжгүй болсныг нь тогтоож актлаж устгах шийдвэр гарсан бол Өмч хамгаалах байнгын зөвлөл уг шийдвэрийн биелэлтий</w:t>
      </w:r>
      <w:r w:rsidR="00370446" w:rsidRPr="00C51AE9">
        <w:rPr>
          <w:rFonts w:ascii="Arial" w:hAnsi="Arial" w:cs="Arial"/>
          <w:i/>
          <w:color w:val="0070C0"/>
          <w:lang w:val="mn-MN"/>
        </w:rPr>
        <w:t>г ханган хэрэгжүүлж, баримтжуулан</w:t>
      </w:r>
      <w:r w:rsidRPr="00C51AE9">
        <w:rPr>
          <w:rFonts w:ascii="Arial" w:hAnsi="Arial" w:cs="Arial"/>
          <w:i/>
          <w:color w:val="0070C0"/>
          <w:lang w:val="mn-MN"/>
        </w:rPr>
        <w:t xml:space="preserve"> акт үйлдэж архивт хадгална.</w:t>
      </w:r>
    </w:p>
    <w:p w:rsidR="00D46A9A" w:rsidRPr="00E90BDC" w:rsidRDefault="00D97089" w:rsidP="00E90BDC">
      <w:pPr>
        <w:jc w:val="center"/>
        <w:rPr>
          <w:rFonts w:ascii="Arial" w:hAnsi="Arial" w:cs="Arial"/>
          <w:b/>
          <w:i/>
          <w:lang w:val="mn-MN"/>
        </w:rPr>
      </w:pPr>
      <w:r w:rsidRPr="00E90BDC">
        <w:rPr>
          <w:rFonts w:ascii="Arial" w:hAnsi="Arial" w:cs="Arial"/>
          <w:b/>
          <w:i/>
          <w:lang w:val="mn-MN"/>
        </w:rPr>
        <w:t>Зургаа. Бусад зүйл</w:t>
      </w:r>
    </w:p>
    <w:p w:rsidR="00D97089" w:rsidRPr="00C51AE9" w:rsidRDefault="00D97089" w:rsidP="00D97089">
      <w:pPr>
        <w:ind w:firstLine="720"/>
        <w:jc w:val="both"/>
        <w:rPr>
          <w:rFonts w:ascii="Arial" w:hAnsi="Arial" w:cs="Arial"/>
          <w:i/>
          <w:color w:val="0070C0"/>
          <w:lang w:val="mn-MN"/>
        </w:rPr>
      </w:pPr>
      <w:r w:rsidRPr="00E90BDC">
        <w:rPr>
          <w:rFonts w:ascii="Arial" w:hAnsi="Arial" w:cs="Arial"/>
          <w:i/>
          <w:lang w:val="mn-MN"/>
        </w:rPr>
        <w:t>1.</w:t>
      </w:r>
      <w:r w:rsidR="00B54F92" w:rsidRPr="00E90BDC">
        <w:rPr>
          <w:rFonts w:ascii="Arial" w:hAnsi="Arial" w:cs="Arial"/>
          <w:i/>
          <w:lang w:val="mn-MN"/>
        </w:rPr>
        <w:t xml:space="preserve"> </w:t>
      </w:r>
      <w:r w:rsidRPr="00C51AE9">
        <w:rPr>
          <w:rFonts w:ascii="Arial" w:hAnsi="Arial" w:cs="Arial"/>
          <w:i/>
          <w:color w:val="0070C0"/>
          <w:lang w:val="mn-MN"/>
        </w:rPr>
        <w:t>Данснаас хасах ү</w:t>
      </w:r>
      <w:r w:rsidR="002F04FA" w:rsidRPr="00C51AE9">
        <w:rPr>
          <w:rFonts w:ascii="Arial" w:hAnsi="Arial" w:cs="Arial"/>
          <w:i/>
          <w:color w:val="0070C0"/>
          <w:lang w:val="mn-MN"/>
        </w:rPr>
        <w:t>ндсэн хөрөнгийн талаар аймгийн Ө</w:t>
      </w:r>
      <w:r w:rsidRPr="00C51AE9">
        <w:rPr>
          <w:rFonts w:ascii="Arial" w:hAnsi="Arial" w:cs="Arial"/>
          <w:i/>
          <w:color w:val="0070C0"/>
          <w:lang w:val="mn-MN"/>
        </w:rPr>
        <w:t>мч хамгаалах байнгын зөвлөлийн гаргасан шийдвэрийг хэрэгжүүлэх ажлыг орон нутгийн өмчит хуулийн этгээдийн дарга /захирал/ өмч хамгаалах байнгын зөвлөлтэй хамтран байгууллага дээрээ зохион байгуул</w:t>
      </w:r>
      <w:r w:rsidR="00C12289" w:rsidRPr="00C51AE9">
        <w:rPr>
          <w:rFonts w:ascii="Arial" w:hAnsi="Arial" w:cs="Arial"/>
          <w:i/>
          <w:color w:val="0070C0"/>
          <w:lang w:val="mn-MN"/>
        </w:rPr>
        <w:t>ах бөгөөд О</w:t>
      </w:r>
      <w:r w:rsidRPr="00C51AE9">
        <w:rPr>
          <w:rFonts w:ascii="Arial" w:hAnsi="Arial" w:cs="Arial"/>
          <w:i/>
          <w:color w:val="0070C0"/>
          <w:lang w:val="mn-MN"/>
        </w:rPr>
        <w:t>рон нутгийн өмчийн албанаас хяналт тавина.</w:t>
      </w:r>
    </w:p>
    <w:p w:rsidR="00D97089" w:rsidRPr="00E90BDC" w:rsidRDefault="00D97089" w:rsidP="00D97089">
      <w:pPr>
        <w:jc w:val="both"/>
        <w:rPr>
          <w:rFonts w:ascii="Arial" w:hAnsi="Arial" w:cs="Arial"/>
          <w:i/>
          <w:lang w:val="mn-MN"/>
        </w:rPr>
      </w:pPr>
      <w:r w:rsidRPr="00E90BDC">
        <w:rPr>
          <w:rFonts w:ascii="Arial" w:hAnsi="Arial" w:cs="Arial"/>
          <w:i/>
          <w:lang w:val="mn-MN"/>
        </w:rPr>
        <w:tab/>
        <w:t>2. Үндсэн хөрөнгө үрэгдүүлж алга болсон, техникийн осолд өртөж цаашид ашиглах боломжгүй болсон ашиглалтын явцад гэмтсэн нь тодорхой этгээдийн буруутай үйл ажиллагаанаас болсон нь тогтоогдвол уг этгээдээс хохирлыг арилгуулж энэ тухай акт, дүгнэлт, шийдвэрийг саналд хавсаргасан байна.</w:t>
      </w:r>
    </w:p>
    <w:p w:rsidR="00F3484A" w:rsidRPr="00E90BDC" w:rsidRDefault="00D97089" w:rsidP="00D97089">
      <w:pPr>
        <w:jc w:val="both"/>
        <w:rPr>
          <w:rFonts w:ascii="Arial" w:hAnsi="Arial" w:cs="Arial"/>
          <w:i/>
          <w:lang w:val="mn-MN"/>
        </w:rPr>
      </w:pPr>
      <w:r w:rsidRPr="00E90BDC">
        <w:rPr>
          <w:rFonts w:ascii="Arial" w:hAnsi="Arial" w:cs="Arial"/>
          <w:i/>
          <w:lang w:val="mn-MN"/>
        </w:rPr>
        <w:tab/>
        <w:t xml:space="preserve">3. </w:t>
      </w:r>
      <w:r w:rsidR="005D5B58" w:rsidRPr="00E90BDC">
        <w:rPr>
          <w:rFonts w:ascii="Arial" w:hAnsi="Arial" w:cs="Arial"/>
          <w:i/>
          <w:lang w:val="mn-MN"/>
        </w:rPr>
        <w:t xml:space="preserve">Орон нутгийн өмчит хуулийн этгээд нь үйл ажиллагааныхаа зорилгод нийцүүлэн </w:t>
      </w:r>
      <w:r w:rsidR="008C719D" w:rsidRPr="00E90BDC">
        <w:rPr>
          <w:rFonts w:ascii="Arial" w:hAnsi="Arial" w:cs="Arial"/>
          <w:i/>
          <w:lang w:val="mn-MN"/>
        </w:rPr>
        <w:t xml:space="preserve">илүүдэлтэй, ашиглагдахгүй байгаа </w:t>
      </w:r>
      <w:r w:rsidR="005D5B58" w:rsidRPr="00E90BDC">
        <w:rPr>
          <w:rFonts w:ascii="Arial" w:hAnsi="Arial" w:cs="Arial"/>
          <w:i/>
          <w:lang w:val="mn-MN"/>
        </w:rPr>
        <w:t>үндсэн хөрөнгийг аймгийн Өмч хамгаалах</w:t>
      </w:r>
      <w:r w:rsidR="00570D94" w:rsidRPr="00E90BDC">
        <w:rPr>
          <w:rFonts w:ascii="Arial" w:hAnsi="Arial" w:cs="Arial"/>
          <w:i/>
          <w:lang w:val="mn-MN"/>
        </w:rPr>
        <w:t xml:space="preserve"> байнгын зөвлөлийн зөвшөөрөлтэйгээр Ор</w:t>
      </w:r>
      <w:r w:rsidR="004A39A9" w:rsidRPr="00E90BDC">
        <w:rPr>
          <w:rFonts w:ascii="Arial" w:hAnsi="Arial" w:cs="Arial"/>
          <w:i/>
          <w:lang w:val="mn-MN"/>
        </w:rPr>
        <w:t>он нутгийн өмчийн алба худалдан</w:t>
      </w:r>
      <w:r w:rsidR="00570D94" w:rsidRPr="00E90BDC">
        <w:rPr>
          <w:rFonts w:ascii="Arial" w:hAnsi="Arial" w:cs="Arial"/>
          <w:i/>
          <w:lang w:val="mn-MN"/>
        </w:rPr>
        <w:t xml:space="preserve"> борлуулна.</w:t>
      </w:r>
      <w:r w:rsidR="00F3484A" w:rsidRPr="00E90BDC">
        <w:rPr>
          <w:rFonts w:ascii="Arial" w:hAnsi="Arial" w:cs="Arial"/>
          <w:i/>
          <w:lang w:val="mn-MN"/>
        </w:rPr>
        <w:t xml:space="preserve"> Худалдах үндсэн хөрөнгийг аймгийн Орон нутгийн өмчийн албанаас нягтлан шалгаж үнийг шинэчлэн тогтооно.</w:t>
      </w:r>
    </w:p>
    <w:p w:rsidR="00570D94" w:rsidRPr="00E90BDC" w:rsidRDefault="00F3484A" w:rsidP="00D97089">
      <w:pPr>
        <w:jc w:val="both"/>
        <w:rPr>
          <w:rFonts w:ascii="Arial" w:hAnsi="Arial" w:cs="Arial"/>
          <w:i/>
          <w:lang w:val="mn-MN"/>
        </w:rPr>
      </w:pPr>
      <w:r w:rsidRPr="00E90BDC">
        <w:rPr>
          <w:rFonts w:ascii="Arial" w:hAnsi="Arial" w:cs="Arial"/>
          <w:i/>
          <w:lang w:val="mn-MN"/>
        </w:rPr>
        <w:tab/>
        <w:t xml:space="preserve">4. </w:t>
      </w:r>
      <w:r w:rsidR="00D042D3" w:rsidRPr="00E90BDC">
        <w:rPr>
          <w:rFonts w:ascii="Arial" w:hAnsi="Arial" w:cs="Arial"/>
          <w:i/>
          <w:lang w:val="mn-MN"/>
        </w:rPr>
        <w:t>Зөвшөөрөлгүйгээр дур мэдэн үндсэн хөрөнгийг данснаас хассан бол шийдвэр гаргасан албан тушаалтныг 25.000-60.000 төгрөгөөр торгож, учирсан хохирлыг нөхөн төлүүлэх эсвэл өмч эзэмшүүлэх гэрээний дагуу хариуцлага хүлээлгэнэ.</w:t>
      </w:r>
    </w:p>
    <w:p w:rsidR="00D042D3" w:rsidRPr="00E90BDC" w:rsidRDefault="00D042D3" w:rsidP="00D97089">
      <w:pPr>
        <w:jc w:val="both"/>
        <w:rPr>
          <w:rFonts w:ascii="Arial" w:hAnsi="Arial" w:cs="Arial"/>
          <w:i/>
          <w:lang w:val="mn-MN"/>
        </w:rPr>
      </w:pPr>
    </w:p>
    <w:p w:rsidR="0097232C" w:rsidRPr="00E90BDC" w:rsidRDefault="00D063FA" w:rsidP="00D97089">
      <w:pPr>
        <w:jc w:val="both"/>
        <w:rPr>
          <w:rFonts w:ascii="Arial" w:hAnsi="Arial" w:cs="Arial"/>
          <w:i/>
        </w:rPr>
      </w:pPr>
      <w:r w:rsidRPr="00E90BDC">
        <w:rPr>
          <w:rFonts w:ascii="Arial" w:hAnsi="Arial" w:cs="Arial"/>
          <w:i/>
        </w:rPr>
        <w:t xml:space="preserve">                                                     ---------------------o0o------------------------</w:t>
      </w:r>
    </w:p>
    <w:p w:rsidR="0097232C" w:rsidRPr="00E90BDC" w:rsidRDefault="0097232C" w:rsidP="00D97089">
      <w:pPr>
        <w:jc w:val="both"/>
        <w:rPr>
          <w:rFonts w:ascii="Arial" w:hAnsi="Arial" w:cs="Arial"/>
          <w:i/>
        </w:rPr>
      </w:pPr>
    </w:p>
    <w:sectPr w:rsidR="0097232C" w:rsidRPr="00E90BDC" w:rsidSect="007C12CF">
      <w:pgSz w:w="12240" w:h="15840"/>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169E"/>
    <w:multiLevelType w:val="hybridMultilevel"/>
    <w:tmpl w:val="AD481FCC"/>
    <w:lvl w:ilvl="0" w:tplc="C450A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F25AA"/>
    <w:multiLevelType w:val="hybridMultilevel"/>
    <w:tmpl w:val="D2709EAE"/>
    <w:lvl w:ilvl="0" w:tplc="990A8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3D772B"/>
    <w:multiLevelType w:val="hybridMultilevel"/>
    <w:tmpl w:val="4F4A4252"/>
    <w:lvl w:ilvl="0" w:tplc="0BAC2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7723E8"/>
    <w:multiLevelType w:val="hybridMultilevel"/>
    <w:tmpl w:val="9872D59E"/>
    <w:lvl w:ilvl="0" w:tplc="ECCE4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1337A3"/>
    <w:multiLevelType w:val="hybridMultilevel"/>
    <w:tmpl w:val="E09ECA12"/>
    <w:lvl w:ilvl="0" w:tplc="E58A8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DD6B48"/>
    <w:multiLevelType w:val="hybridMultilevel"/>
    <w:tmpl w:val="B79A2F10"/>
    <w:lvl w:ilvl="0" w:tplc="86EEC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4C7052"/>
    <w:multiLevelType w:val="hybridMultilevel"/>
    <w:tmpl w:val="C4C0A3A0"/>
    <w:lvl w:ilvl="0" w:tplc="A538D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D10D27"/>
    <w:multiLevelType w:val="hybridMultilevel"/>
    <w:tmpl w:val="AD7857A8"/>
    <w:lvl w:ilvl="0" w:tplc="3CFE6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F9266D"/>
    <w:multiLevelType w:val="hybridMultilevel"/>
    <w:tmpl w:val="50380A0C"/>
    <w:lvl w:ilvl="0" w:tplc="F29E2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ED3BDE"/>
    <w:multiLevelType w:val="hybridMultilevel"/>
    <w:tmpl w:val="837C8A7C"/>
    <w:lvl w:ilvl="0" w:tplc="8D8CD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6"/>
  </w:num>
  <w:num w:numId="5">
    <w:abstractNumId w:val="7"/>
  </w:num>
  <w:num w:numId="6">
    <w:abstractNumId w:val="4"/>
  </w:num>
  <w:num w:numId="7">
    <w:abstractNumId w:val="9"/>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2CF"/>
    <w:rsid w:val="00002FE4"/>
    <w:rsid w:val="0002594E"/>
    <w:rsid w:val="00032228"/>
    <w:rsid w:val="00097B0B"/>
    <w:rsid w:val="000A22EC"/>
    <w:rsid w:val="000F42B4"/>
    <w:rsid w:val="000F4E51"/>
    <w:rsid w:val="0010720E"/>
    <w:rsid w:val="001431D1"/>
    <w:rsid w:val="00164FA6"/>
    <w:rsid w:val="001F402E"/>
    <w:rsid w:val="00212033"/>
    <w:rsid w:val="00224CD5"/>
    <w:rsid w:val="002364E0"/>
    <w:rsid w:val="002B4E8D"/>
    <w:rsid w:val="002C047B"/>
    <w:rsid w:val="002F04FA"/>
    <w:rsid w:val="003639A1"/>
    <w:rsid w:val="00370446"/>
    <w:rsid w:val="003B7E80"/>
    <w:rsid w:val="003E6742"/>
    <w:rsid w:val="0042248F"/>
    <w:rsid w:val="00426B38"/>
    <w:rsid w:val="00446B51"/>
    <w:rsid w:val="004A14A1"/>
    <w:rsid w:val="004A39A9"/>
    <w:rsid w:val="004D2A75"/>
    <w:rsid w:val="00507CA7"/>
    <w:rsid w:val="0051751F"/>
    <w:rsid w:val="00570D94"/>
    <w:rsid w:val="005D5B58"/>
    <w:rsid w:val="006129D2"/>
    <w:rsid w:val="0063730C"/>
    <w:rsid w:val="00686265"/>
    <w:rsid w:val="006E31EF"/>
    <w:rsid w:val="0070395D"/>
    <w:rsid w:val="00716E6F"/>
    <w:rsid w:val="007A733C"/>
    <w:rsid w:val="007C12CF"/>
    <w:rsid w:val="00821BC8"/>
    <w:rsid w:val="0083187E"/>
    <w:rsid w:val="00890D8D"/>
    <w:rsid w:val="008C719D"/>
    <w:rsid w:val="0097232C"/>
    <w:rsid w:val="00981D98"/>
    <w:rsid w:val="009C6F50"/>
    <w:rsid w:val="009D2FF9"/>
    <w:rsid w:val="009E3320"/>
    <w:rsid w:val="00A34C44"/>
    <w:rsid w:val="00AA2501"/>
    <w:rsid w:val="00AD1389"/>
    <w:rsid w:val="00B54F92"/>
    <w:rsid w:val="00B62E04"/>
    <w:rsid w:val="00B74589"/>
    <w:rsid w:val="00C001E1"/>
    <w:rsid w:val="00C12289"/>
    <w:rsid w:val="00C4328A"/>
    <w:rsid w:val="00C51AE9"/>
    <w:rsid w:val="00C95E1C"/>
    <w:rsid w:val="00C96C2D"/>
    <w:rsid w:val="00CC49AC"/>
    <w:rsid w:val="00CD52CE"/>
    <w:rsid w:val="00D042D3"/>
    <w:rsid w:val="00D063FA"/>
    <w:rsid w:val="00D311EE"/>
    <w:rsid w:val="00D46A9A"/>
    <w:rsid w:val="00D9631A"/>
    <w:rsid w:val="00D97089"/>
    <w:rsid w:val="00DA2068"/>
    <w:rsid w:val="00DD1E3F"/>
    <w:rsid w:val="00E06640"/>
    <w:rsid w:val="00E27AE7"/>
    <w:rsid w:val="00E5386D"/>
    <w:rsid w:val="00E90BDC"/>
    <w:rsid w:val="00ED25B0"/>
    <w:rsid w:val="00EF4713"/>
    <w:rsid w:val="00F3484A"/>
    <w:rsid w:val="00F40E78"/>
    <w:rsid w:val="00F7307B"/>
  </w:rsids>
  <m:mathPr>
    <m:mathFont m:val="Cambria Math"/>
    <m:brkBin m:val="before"/>
    <m:brkBinSub m:val="--"/>
    <m:smallFrac m:val="off"/>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50"/>
    <w:pPr>
      <w:ind w:left="720"/>
      <w:contextualSpacing/>
    </w:pPr>
  </w:style>
  <w:style w:type="paragraph" w:styleId="BalloonText">
    <w:name w:val="Balloon Text"/>
    <w:basedOn w:val="Normal"/>
    <w:link w:val="BalloonTextChar"/>
    <w:uiPriority w:val="99"/>
    <w:semiHidden/>
    <w:unhideWhenUsed/>
    <w:rsid w:val="000F4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92C1-C617-4D5C-9282-90733C9D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dc:creator>
  <cp:lastModifiedBy>bsb</cp:lastModifiedBy>
  <cp:revision>90</cp:revision>
  <cp:lastPrinted>2013-04-10T18:49:00Z</cp:lastPrinted>
  <dcterms:created xsi:type="dcterms:W3CDTF">2013-04-10T01:44:00Z</dcterms:created>
  <dcterms:modified xsi:type="dcterms:W3CDTF">2013-09-20T01:57:00Z</dcterms:modified>
</cp:coreProperties>
</file>