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D" w:rsidRDefault="00CD7D2D" w:rsidP="004670B9">
      <w:pPr>
        <w:spacing w:after="0" w:line="240" w:lineRule="auto"/>
        <w:jc w:val="center"/>
        <w:rPr>
          <w:rFonts w:ascii="Arial Mon" w:hAnsi="Arial Mon"/>
          <w:b/>
          <w:sz w:val="24"/>
          <w:szCs w:val="24"/>
          <w:lang w:val="mn-MN"/>
        </w:rPr>
      </w:pPr>
      <w:r w:rsidRPr="00CD7D2D">
        <w:rPr>
          <w:rFonts w:ascii="Arial Mon" w:hAnsi="Arial Mon"/>
          <w:b/>
          <w:sz w:val="24"/>
          <w:szCs w:val="24"/>
        </w:rPr>
        <w:t>А</w:t>
      </w:r>
      <w:r w:rsidR="004670B9">
        <w:rPr>
          <w:rFonts w:ascii="Arial Mon" w:hAnsi="Arial Mon"/>
          <w:b/>
          <w:sz w:val="24"/>
          <w:szCs w:val="24"/>
          <w:lang w:val="mn-MN"/>
        </w:rPr>
        <w:t xml:space="preserve">ЙМГИЙН </w:t>
      </w:r>
      <w:r w:rsidRPr="00CD7D2D">
        <w:rPr>
          <w:rFonts w:ascii="Arial Mon" w:hAnsi="Arial Mon"/>
          <w:b/>
          <w:sz w:val="24"/>
          <w:szCs w:val="24"/>
        </w:rPr>
        <w:t>И</w:t>
      </w:r>
      <w:r w:rsidR="004670B9">
        <w:rPr>
          <w:rFonts w:ascii="Arial Mon" w:hAnsi="Arial Mon"/>
          <w:b/>
          <w:sz w:val="24"/>
          <w:szCs w:val="24"/>
          <w:lang w:val="mn-MN"/>
        </w:rPr>
        <w:t xml:space="preserve">РГЭДИЙН </w:t>
      </w:r>
      <w:r w:rsidRPr="00CD7D2D">
        <w:rPr>
          <w:rFonts w:ascii="Arial Mon" w:hAnsi="Arial Mon"/>
          <w:b/>
          <w:sz w:val="24"/>
          <w:szCs w:val="24"/>
        </w:rPr>
        <w:t>Т</w:t>
      </w:r>
      <w:r w:rsidR="004670B9">
        <w:rPr>
          <w:rFonts w:ascii="Arial Mon" w:hAnsi="Arial Mon"/>
          <w:b/>
          <w:sz w:val="24"/>
          <w:szCs w:val="24"/>
          <w:lang w:val="mn-MN"/>
        </w:rPr>
        <w:t xml:space="preserve">ӨЛӨӨЛӨГЧДИЙН </w:t>
      </w:r>
      <w:r w:rsidRPr="00CD7D2D">
        <w:rPr>
          <w:rFonts w:ascii="Arial Mon" w:hAnsi="Arial Mon"/>
          <w:b/>
          <w:sz w:val="24"/>
          <w:szCs w:val="24"/>
        </w:rPr>
        <w:t>Х</w:t>
      </w:r>
      <w:r w:rsidR="004670B9">
        <w:rPr>
          <w:rFonts w:ascii="Arial Mon" w:hAnsi="Arial Mon"/>
          <w:b/>
          <w:sz w:val="24"/>
          <w:szCs w:val="24"/>
          <w:lang w:val="mn-MN"/>
        </w:rPr>
        <w:t>УРЛЫН</w:t>
      </w:r>
      <w:r w:rsidRPr="00CD7D2D">
        <w:rPr>
          <w:rFonts w:ascii="Arial Mon" w:hAnsi="Arial Mon"/>
          <w:b/>
          <w:sz w:val="24"/>
          <w:szCs w:val="24"/>
        </w:rPr>
        <w:t xml:space="preserve"> ХӨРӨНГӨ ОРУУЛАЛТ, ТӨЛӨВЛӨЛТ ТӨСӨВ,</w:t>
      </w:r>
      <w:r w:rsidR="004670B9"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CD7D2D">
        <w:rPr>
          <w:rFonts w:ascii="Arial Mon" w:hAnsi="Arial Mon"/>
          <w:b/>
          <w:sz w:val="24"/>
          <w:szCs w:val="24"/>
        </w:rPr>
        <w:t>ӨМЧИЙН ХОРОО</w:t>
      </w:r>
    </w:p>
    <w:p w:rsidR="004670B9" w:rsidRPr="004670B9" w:rsidRDefault="004670B9" w:rsidP="004670B9">
      <w:pPr>
        <w:spacing w:after="0" w:line="240" w:lineRule="auto"/>
        <w:jc w:val="center"/>
        <w:rPr>
          <w:rFonts w:ascii="Arial Mon" w:hAnsi="Arial Mon"/>
          <w:b/>
          <w:sz w:val="24"/>
          <w:szCs w:val="24"/>
          <w:lang w:val="mn-MN"/>
        </w:rPr>
      </w:pPr>
    </w:p>
    <w:p w:rsidR="00CD7D2D" w:rsidRPr="00CD7D2D" w:rsidRDefault="003039F9" w:rsidP="00CD7D2D">
      <w:pPr>
        <w:jc w:val="center"/>
        <w:rPr>
          <w:rFonts w:ascii="Arial Mon" w:hAnsi="Arial Mon"/>
          <w:sz w:val="24"/>
          <w:szCs w:val="24"/>
        </w:rPr>
      </w:pPr>
      <w:r>
        <w:rPr>
          <w:rFonts w:ascii="Arial Mon" w:hAnsi="Arial Mon"/>
          <w:sz w:val="24"/>
          <w:szCs w:val="24"/>
        </w:rPr>
        <w:t>2016.12.15</w:t>
      </w:r>
      <w:r w:rsidR="00CD7D2D" w:rsidRPr="00CD7D2D">
        <w:rPr>
          <w:rFonts w:ascii="Arial Mon" w:hAnsi="Arial Mon"/>
          <w:sz w:val="24"/>
          <w:szCs w:val="24"/>
        </w:rPr>
        <w:t xml:space="preserve">            </w:t>
      </w:r>
      <w:r w:rsidR="00CD7D2D">
        <w:rPr>
          <w:rFonts w:ascii="Arial Mon" w:hAnsi="Arial Mon"/>
          <w:sz w:val="24"/>
          <w:szCs w:val="24"/>
          <w:lang w:val="mn-MN"/>
        </w:rPr>
        <w:t xml:space="preserve">    </w:t>
      </w:r>
      <w:r w:rsidR="00CD7D2D" w:rsidRPr="00CD7D2D">
        <w:rPr>
          <w:rFonts w:ascii="Arial Mon" w:hAnsi="Arial Mon"/>
          <w:sz w:val="24"/>
          <w:szCs w:val="24"/>
        </w:rPr>
        <w:t xml:space="preserve">                                                                            </w:t>
      </w:r>
      <w:proofErr w:type="spellStart"/>
      <w:r w:rsidR="00CD7D2D" w:rsidRPr="00CD7D2D">
        <w:rPr>
          <w:rFonts w:ascii="Arial Mon" w:hAnsi="Arial Mon"/>
          <w:sz w:val="24"/>
          <w:szCs w:val="24"/>
        </w:rPr>
        <w:t>Чингис</w:t>
      </w:r>
      <w:proofErr w:type="spellEnd"/>
      <w:r w:rsidR="00CD7D2D"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="00CD7D2D" w:rsidRPr="00CD7D2D">
        <w:rPr>
          <w:rFonts w:ascii="Arial Mon" w:hAnsi="Arial Mon"/>
          <w:sz w:val="24"/>
          <w:szCs w:val="24"/>
        </w:rPr>
        <w:t>хот</w:t>
      </w:r>
      <w:proofErr w:type="spellEnd"/>
    </w:p>
    <w:p w:rsidR="00CD7D2D" w:rsidRPr="00CD7D2D" w:rsidRDefault="00CD7D2D" w:rsidP="00CD7D2D">
      <w:pPr>
        <w:jc w:val="both"/>
        <w:rPr>
          <w:rFonts w:ascii="Arial Mon" w:hAnsi="Arial Mon"/>
          <w:b/>
          <w:sz w:val="24"/>
          <w:szCs w:val="24"/>
        </w:rPr>
      </w:pPr>
      <w:r w:rsidRPr="00CD7D2D">
        <w:rPr>
          <w:rFonts w:ascii="Arial Mon" w:hAnsi="Arial Mon"/>
          <w:b/>
          <w:sz w:val="24"/>
          <w:szCs w:val="24"/>
        </w:rPr>
        <w:tab/>
      </w:r>
      <w:r>
        <w:rPr>
          <w:rFonts w:ascii="Arial Mon" w:hAnsi="Arial Mon"/>
          <w:b/>
          <w:sz w:val="24"/>
          <w:szCs w:val="24"/>
        </w:rPr>
        <w:tab/>
        <w:t>А</w:t>
      </w:r>
      <w:r>
        <w:rPr>
          <w:rFonts w:ascii="Arial Mon" w:hAnsi="Arial Mon"/>
          <w:b/>
          <w:sz w:val="24"/>
          <w:szCs w:val="24"/>
          <w:lang w:val="mn-MN"/>
        </w:rPr>
        <w:t>ИТ</w:t>
      </w:r>
      <w:proofErr w:type="spellStart"/>
      <w:r w:rsidRPr="00CD7D2D">
        <w:rPr>
          <w:rFonts w:ascii="Arial Mon" w:hAnsi="Arial Mon"/>
          <w:b/>
          <w:sz w:val="24"/>
          <w:szCs w:val="24"/>
        </w:rPr>
        <w:t>Хурлын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зохион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proofErr w:type="gramStart"/>
      <w:r w:rsidRPr="00CD7D2D">
        <w:rPr>
          <w:rFonts w:ascii="Arial Mon" w:hAnsi="Arial Mon"/>
          <w:b/>
          <w:sz w:val="24"/>
          <w:szCs w:val="24"/>
        </w:rPr>
        <w:t>байгуулалтын</w:t>
      </w:r>
      <w:proofErr w:type="spellEnd"/>
      <w:r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бүтэц</w:t>
      </w:r>
      <w:proofErr w:type="spellEnd"/>
      <w:proofErr w:type="gram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нь</w:t>
      </w:r>
      <w:proofErr w:type="spellEnd"/>
      <w:r w:rsidRPr="00CD7D2D">
        <w:rPr>
          <w:rFonts w:ascii="Arial Mon" w:hAnsi="Arial Mon"/>
          <w:b/>
          <w:sz w:val="24"/>
          <w:szCs w:val="24"/>
        </w:rPr>
        <w:t>:</w:t>
      </w:r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Төрийн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хяналт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шинжилгээ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үнэлгээний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2.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Хууль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эрхзүй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авлига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ёсзүйн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3.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Нийгмийн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4.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Хөрөнгө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оруулалт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төлөвлөлт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төсөв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өмчийн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5.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Хөдөө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ахуй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аялал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жуулчлал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байгаль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орчны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6.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Өргөдөл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гомдол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иргэний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танхим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сургалт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судалгааны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proofErr w:type="spellStart"/>
      <w:proofErr w:type="gramStart"/>
      <w:r w:rsidRPr="00CD7D2D">
        <w:rPr>
          <w:rFonts w:ascii="Arial Mon" w:hAnsi="Arial Mon"/>
          <w:sz w:val="24"/>
          <w:szCs w:val="24"/>
        </w:rPr>
        <w:t>болж</w:t>
      </w:r>
      <w:proofErr w:type="spellEnd"/>
      <w:proofErr w:type="gram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шинэчлэгдэн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байгуулагдсан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</w:p>
    <w:p w:rsidR="000B28B8" w:rsidRDefault="00CD7D2D" w:rsidP="000B28B8">
      <w:pPr>
        <w:jc w:val="both"/>
        <w:rPr>
          <w:rFonts w:ascii="Arial Mon" w:hAnsi="Arial Mon"/>
          <w:b/>
          <w:sz w:val="24"/>
          <w:szCs w:val="24"/>
          <w:lang w:val="mn-MN"/>
        </w:rPr>
      </w:pPr>
      <w:r w:rsidRPr="00CD7D2D">
        <w:rPr>
          <w:rFonts w:ascii="Arial Mon" w:hAnsi="Arial Mon"/>
          <w:b/>
          <w:sz w:val="24"/>
          <w:szCs w:val="24"/>
        </w:rPr>
        <w:tab/>
      </w:r>
    </w:p>
    <w:p w:rsidR="00CD7D2D" w:rsidRDefault="00CD7D2D" w:rsidP="000B28B8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</w:rPr>
      </w:pPr>
      <w:proofErr w:type="spellStart"/>
      <w:r w:rsidRPr="00CD7D2D">
        <w:rPr>
          <w:rFonts w:ascii="Arial Mon" w:hAnsi="Arial Mon"/>
          <w:b/>
          <w:sz w:val="24"/>
          <w:szCs w:val="24"/>
        </w:rPr>
        <w:t>Хөрөнгө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оруулалт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төлөвлөлт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төсөв</w:t>
      </w:r>
      <w:proofErr w:type="spellEnd"/>
      <w:proofErr w:type="gramStart"/>
      <w:r w:rsidRPr="00CD7D2D">
        <w:rPr>
          <w:rFonts w:ascii="Arial Mon" w:hAnsi="Arial Mon"/>
          <w:b/>
          <w:sz w:val="24"/>
          <w:szCs w:val="24"/>
        </w:rPr>
        <w:t>,</w:t>
      </w:r>
      <w:r>
        <w:rPr>
          <w:rFonts w:ascii="Arial Mon" w:hAnsi="Arial Mon"/>
          <w:b/>
          <w:sz w:val="24"/>
          <w:szCs w:val="24"/>
          <w:lang w:val="mn-MN"/>
        </w:rPr>
        <w:t xml:space="preserve"> </w:t>
      </w:r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өмчийн</w:t>
      </w:r>
      <w:proofErr w:type="spellEnd"/>
      <w:proofErr w:type="gram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хорооны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гишүүд</w:t>
      </w:r>
      <w:proofErr w:type="spellEnd"/>
      <w:r w:rsidRPr="00CD7D2D">
        <w:rPr>
          <w:rFonts w:ascii="Arial Mon" w:hAnsi="Arial Mon"/>
          <w:b/>
          <w:sz w:val="24"/>
          <w:szCs w:val="24"/>
        </w:rPr>
        <w:t>:</w:t>
      </w:r>
    </w:p>
    <w:p w:rsidR="003039F9" w:rsidRPr="00CD7D2D" w:rsidRDefault="003039F9" w:rsidP="000B28B8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</w:rPr>
      </w:pPr>
    </w:p>
    <w:p w:rsidR="00CD7D2D" w:rsidRPr="00CD7D2D" w:rsidRDefault="00CD7D2D" w:rsidP="000B28B8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Ц.Идэрбат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– </w:t>
      </w:r>
      <w:proofErr w:type="spellStart"/>
      <w:r w:rsidRPr="00CD7D2D">
        <w:rPr>
          <w:rFonts w:ascii="Arial Mon" w:hAnsi="Arial Mon"/>
          <w:sz w:val="24"/>
          <w:szCs w:val="24"/>
        </w:rPr>
        <w:t>Хорооны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дарга</w:t>
      </w:r>
      <w:proofErr w:type="spellEnd"/>
    </w:p>
    <w:p w:rsidR="00CD7D2D" w:rsidRPr="00CD7D2D" w:rsidRDefault="00CD7D2D" w:rsidP="000B28B8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2.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Д.Жамбаа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3.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Ч.Алтанзаяа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4.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Б.Насанжаргал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5.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Ч.Мөнх-Эрдэнэ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6.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Д.Амгаланбаатар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7.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Д.Бат-Эрдэнэ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8.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Ц.Чогсомжав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9.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Ц.Амгаланбаатар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10.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К.Кульжан</w:t>
      </w:r>
      <w:proofErr w:type="spellEnd"/>
    </w:p>
    <w:p w:rsid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CD7D2D">
        <w:rPr>
          <w:rFonts w:ascii="Arial Mon" w:hAnsi="Arial Mon"/>
          <w:sz w:val="24"/>
          <w:szCs w:val="24"/>
        </w:rPr>
        <w:t>11.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У.Одхүү</w:t>
      </w:r>
      <w:proofErr w:type="spellEnd"/>
    </w:p>
    <w:p w:rsidR="00CD7D2D" w:rsidRPr="00CD7D2D" w:rsidRDefault="00CD7D2D" w:rsidP="00CD7D2D">
      <w:pPr>
        <w:jc w:val="both"/>
        <w:rPr>
          <w:rFonts w:ascii="Arial Mon" w:hAnsi="Arial Mon"/>
          <w:sz w:val="24"/>
          <w:szCs w:val="24"/>
          <w:lang w:val="mn-MN"/>
        </w:rPr>
      </w:pPr>
    </w:p>
    <w:p w:rsidR="00CD7D2D" w:rsidRPr="00CD7D2D" w:rsidRDefault="00CD7D2D" w:rsidP="00CD7D2D">
      <w:pPr>
        <w:ind w:firstLine="720"/>
        <w:jc w:val="both"/>
        <w:rPr>
          <w:rFonts w:ascii="Arial Mon" w:hAnsi="Arial Mon"/>
          <w:b/>
          <w:sz w:val="24"/>
          <w:szCs w:val="24"/>
        </w:rPr>
      </w:pPr>
      <w:r w:rsidRPr="00CD7D2D">
        <w:rPr>
          <w:rFonts w:ascii="Arial Mon" w:hAnsi="Arial Mon"/>
          <w:b/>
          <w:sz w:val="24"/>
          <w:szCs w:val="24"/>
        </w:rPr>
        <w:t>АИТХ-</w:t>
      </w:r>
      <w:proofErr w:type="spellStart"/>
      <w:r w:rsidRPr="00CD7D2D">
        <w:rPr>
          <w:rFonts w:ascii="Arial Mon" w:hAnsi="Arial Mon"/>
          <w:b/>
          <w:sz w:val="24"/>
          <w:szCs w:val="24"/>
        </w:rPr>
        <w:t>ын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Хороо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байгуулж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ажиллах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зорилго</w:t>
      </w:r>
      <w:proofErr w:type="spellEnd"/>
      <w:r w:rsidRPr="00CD7D2D">
        <w:rPr>
          <w:rFonts w:ascii="Arial Mon" w:hAnsi="Arial Mon"/>
          <w:b/>
          <w:sz w:val="24"/>
          <w:szCs w:val="24"/>
        </w:rPr>
        <w:t>:</w:t>
      </w:r>
    </w:p>
    <w:p w:rsidR="00CD7D2D" w:rsidRPr="00CD7D2D" w:rsidRDefault="00CD7D2D" w:rsidP="00CD7D2D">
      <w:pPr>
        <w:ind w:firstLine="720"/>
        <w:jc w:val="both"/>
        <w:rPr>
          <w:rFonts w:ascii="Arial Mon" w:hAnsi="Arial Mon"/>
          <w:sz w:val="24"/>
          <w:szCs w:val="24"/>
        </w:rPr>
      </w:pPr>
      <w:proofErr w:type="spellStart"/>
      <w:r w:rsidRPr="00CD7D2D">
        <w:rPr>
          <w:rFonts w:ascii="Arial Mon" w:hAnsi="Arial Mon"/>
          <w:sz w:val="24"/>
          <w:szCs w:val="24"/>
        </w:rPr>
        <w:t>Монгол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Улсын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Засаг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захиргаа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нутаг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дэвсгэрийн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нэгж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түүний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удирдлагын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тухай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 </w:t>
      </w:r>
      <w:proofErr w:type="spellStart"/>
      <w:r w:rsidRPr="00CD7D2D">
        <w:rPr>
          <w:rFonts w:ascii="Arial Mon" w:hAnsi="Arial Mon"/>
          <w:sz w:val="24"/>
          <w:szCs w:val="24"/>
        </w:rPr>
        <w:t>хууль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Төсвийн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тухай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хууль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бусад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хууль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тогтоомжийн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хэрэгжилтийг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хангуулах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Хурлын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байгууллагын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үйл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ажиллагааг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нийтэд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ил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нээлттэй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болгож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иргэдийн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гаргасан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зөв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оновчтой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санал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бодлыг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Хурлын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шийдвэр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аймаг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нутгийн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эдийн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засаг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нийгмийн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олон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асуудлыг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шуурхай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шийдвэрлэх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чиглэлд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тусгах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аймаг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нутгийн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нийгэм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эдийн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засгийн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хөгжлийн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тодорхойлох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төлөөлөгчдийн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хүсэл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зорилгыг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иргэд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байгууллагын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зүгт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хандуулж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төлөөллийн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чиг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үүргийг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хэрэгжүүлэх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юм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</w:p>
    <w:p w:rsidR="00CD7D2D" w:rsidRPr="00CD7D2D" w:rsidRDefault="00CD7D2D" w:rsidP="00CD7D2D">
      <w:pPr>
        <w:ind w:firstLine="720"/>
        <w:jc w:val="both"/>
        <w:rPr>
          <w:rFonts w:ascii="Arial Mon" w:hAnsi="Arial Mon"/>
          <w:b/>
          <w:sz w:val="24"/>
          <w:szCs w:val="24"/>
        </w:rPr>
      </w:pPr>
      <w:proofErr w:type="spellStart"/>
      <w:r w:rsidRPr="00CD7D2D">
        <w:rPr>
          <w:rFonts w:ascii="Arial Mon" w:hAnsi="Arial Mon"/>
          <w:b/>
          <w:sz w:val="24"/>
          <w:szCs w:val="24"/>
        </w:rPr>
        <w:t>Хорооны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үйл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ажиллагаа</w:t>
      </w:r>
      <w:proofErr w:type="spellEnd"/>
      <w:r w:rsidRPr="00CD7D2D">
        <w:rPr>
          <w:rFonts w:ascii="Arial Mon" w:hAnsi="Arial Mon"/>
          <w:b/>
          <w:sz w:val="24"/>
          <w:szCs w:val="24"/>
        </w:rPr>
        <w:t>:</w:t>
      </w:r>
    </w:p>
    <w:p w:rsidR="00CD7D2D" w:rsidRDefault="00CD7D2D" w:rsidP="00CD7D2D">
      <w:pPr>
        <w:ind w:firstLine="720"/>
        <w:jc w:val="both"/>
        <w:rPr>
          <w:rFonts w:ascii="Arial Mon" w:hAnsi="Arial Mon"/>
          <w:sz w:val="24"/>
          <w:szCs w:val="24"/>
          <w:lang w:val="mn-MN"/>
        </w:rPr>
      </w:pPr>
      <w:proofErr w:type="spell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хариуцсан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чиглэлээрээ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шийдвэрлэх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шаардлагатай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тулгамдсан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асуудлыг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иргэд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олон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нийт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холбогдох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байгууллагын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оролцоотой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судалж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боловсруулах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шалгаж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танилцах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үнэлэлт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дүгнэлт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гаргах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Төлөөлөгчдийн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болон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Тэргүүлэгчдийн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Хуралдаанд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асуудал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боловсруулж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хэлэлцүүлэх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гаргасан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шийдвэрийг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сурталчлах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хэрэгжилтийг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зохион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биелэлтийг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тооцох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зэргээр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ажиллана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</w:p>
    <w:p w:rsidR="00CD7D2D" w:rsidRPr="00CD7D2D" w:rsidRDefault="00CD7D2D" w:rsidP="00CD7D2D">
      <w:pPr>
        <w:ind w:firstLine="720"/>
        <w:jc w:val="both"/>
        <w:rPr>
          <w:rFonts w:ascii="Arial Mon" w:hAnsi="Arial Mon"/>
          <w:sz w:val="24"/>
          <w:szCs w:val="24"/>
        </w:rPr>
      </w:pPr>
      <w:proofErr w:type="spellStart"/>
      <w:proofErr w:type="gramStart"/>
      <w:r w:rsidRPr="00CD7D2D">
        <w:rPr>
          <w:rFonts w:ascii="Arial Mon" w:hAnsi="Arial Mon"/>
          <w:sz w:val="24"/>
          <w:szCs w:val="24"/>
        </w:rPr>
        <w:t>Хороо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жил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улирлаар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ажлаа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төлөвлөн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Хурлаараа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хэлэлц</w:t>
      </w:r>
      <w:bookmarkStart w:id="0" w:name="_GoBack"/>
      <w:bookmarkEnd w:id="0"/>
      <w:r w:rsidRPr="00CD7D2D">
        <w:rPr>
          <w:rFonts w:ascii="Arial Mon" w:hAnsi="Arial Mon"/>
          <w:sz w:val="24"/>
          <w:szCs w:val="24"/>
        </w:rPr>
        <w:t>эн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батлах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бөгөөд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биелэлтийг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АИТХ-</w:t>
      </w:r>
      <w:proofErr w:type="spellStart"/>
      <w:r w:rsidRPr="00CD7D2D">
        <w:rPr>
          <w:rFonts w:ascii="Arial Mon" w:hAnsi="Arial Mon"/>
          <w:sz w:val="24"/>
          <w:szCs w:val="24"/>
        </w:rPr>
        <w:t>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Тэргүүлэгчдэд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хагас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жилд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нэгээс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доошгүй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удаа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танилцуулж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энэ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тухайгаа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Иргэний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танхимаар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дамжуулан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иргэд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олон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нийтэд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мэдээлэл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хүргэж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байна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  <w:proofErr w:type="gramEnd"/>
    </w:p>
    <w:p w:rsidR="00CD7D2D" w:rsidRPr="00CD7D2D" w:rsidRDefault="00CD7D2D" w:rsidP="00CD7D2D">
      <w:pPr>
        <w:ind w:firstLine="720"/>
        <w:jc w:val="both"/>
        <w:rPr>
          <w:rFonts w:ascii="Arial Mon" w:hAnsi="Arial Mon"/>
          <w:sz w:val="24"/>
          <w:szCs w:val="24"/>
        </w:rPr>
      </w:pPr>
      <w:proofErr w:type="spellStart"/>
      <w:proofErr w:type="gramStart"/>
      <w:r w:rsidRPr="00CD7D2D">
        <w:rPr>
          <w:rFonts w:ascii="Arial Mon" w:hAnsi="Arial Mon"/>
          <w:sz w:val="24"/>
          <w:szCs w:val="24"/>
        </w:rPr>
        <w:lastRenderedPageBreak/>
        <w:t>Хороо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шаардлагатай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тохиолдолд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мэргэжлийн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байгууллага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ажилтнууд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иргэдийг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өөрийн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ажилдаа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татан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оролцуулж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оновчтой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зөв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шийдвэр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гаргахад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үйл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ажиллагаагаа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чиглүүлж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ажиллана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  <w:proofErr w:type="gramEnd"/>
      <w:r w:rsidRPr="00CD7D2D">
        <w:rPr>
          <w:rFonts w:ascii="Arial Mon" w:hAnsi="Arial Mon"/>
          <w:sz w:val="24"/>
          <w:szCs w:val="24"/>
        </w:rPr>
        <w:t xml:space="preserve"> </w:t>
      </w:r>
    </w:p>
    <w:p w:rsidR="00CD7D2D" w:rsidRPr="00CD7D2D" w:rsidRDefault="00CD7D2D" w:rsidP="00CD7D2D">
      <w:pPr>
        <w:ind w:firstLine="720"/>
        <w:jc w:val="both"/>
        <w:rPr>
          <w:rFonts w:ascii="Arial Mon" w:hAnsi="Arial Mon"/>
          <w:sz w:val="24"/>
          <w:szCs w:val="24"/>
        </w:rPr>
      </w:pPr>
      <w:proofErr w:type="spellStart"/>
      <w:r w:rsidRPr="00CD7D2D">
        <w:rPr>
          <w:rFonts w:ascii="Arial Mon" w:hAnsi="Arial Mon"/>
          <w:sz w:val="24"/>
          <w:szCs w:val="24"/>
        </w:rPr>
        <w:t>Хурлын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байгууллагын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үйл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ажиллагаанд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Төлөөлөгчдийн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оролцоог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тогтмол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хангаж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аймаг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нутгийн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төсөв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санхүү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нийгэм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эдийн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засгийн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хөгжлийн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тодорхойлох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удирдлагын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чиг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үүргээ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хэрэгжүүлэх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боломжоор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хангахад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зориулсан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хөрөнгийн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асуудлыг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Төсвийн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тухай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хуулийн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58 </w:t>
      </w:r>
      <w:proofErr w:type="spellStart"/>
      <w:r w:rsidRPr="00CD7D2D">
        <w:rPr>
          <w:rFonts w:ascii="Arial Mon" w:hAnsi="Arial Mon"/>
          <w:sz w:val="24"/>
          <w:szCs w:val="24"/>
        </w:rPr>
        <w:t>дугаар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зүйлийн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58.2.1 </w:t>
      </w:r>
      <w:proofErr w:type="spellStart"/>
      <w:r w:rsidRPr="00CD7D2D">
        <w:rPr>
          <w:rFonts w:ascii="Arial Mon" w:hAnsi="Arial Mon"/>
          <w:sz w:val="24"/>
          <w:szCs w:val="24"/>
        </w:rPr>
        <w:t>заалтын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хүрээнд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шийдвэрлэнэ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</w:p>
    <w:p w:rsidR="00CD7D2D" w:rsidRPr="00CD7D2D" w:rsidRDefault="00CD7D2D" w:rsidP="00CD7D2D">
      <w:pPr>
        <w:ind w:firstLine="720"/>
        <w:jc w:val="both"/>
        <w:rPr>
          <w:rFonts w:ascii="Arial Mon" w:hAnsi="Arial Mon"/>
          <w:sz w:val="24"/>
          <w:szCs w:val="24"/>
        </w:rPr>
      </w:pPr>
      <w:proofErr w:type="spellStart"/>
      <w:proofErr w:type="gramStart"/>
      <w:r w:rsidRPr="00CD7D2D">
        <w:rPr>
          <w:rFonts w:ascii="Arial Mon" w:hAnsi="Arial Mon"/>
          <w:sz w:val="24"/>
          <w:szCs w:val="24"/>
        </w:rPr>
        <w:t>Хорооны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гишүүдийн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тухайн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цаг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үетэй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уялдан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гарах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удирдамжийг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Хурлын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даргын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захирамжаар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батлах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бөгөөд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тухайн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хэсэгт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хорооны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гишүүдэд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дэмжлэг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туслалцаа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үзүүлж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үндсэн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үүргийг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зохицуулж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албан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байгууллагын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дарга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эрхлэгч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мэргэжилтэн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нарын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үүрэг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болно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  <w:proofErr w:type="gram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proofErr w:type="gramStart"/>
      <w:r w:rsidRPr="00CD7D2D">
        <w:rPr>
          <w:rFonts w:ascii="Arial Mon" w:hAnsi="Arial Mon"/>
          <w:sz w:val="24"/>
          <w:szCs w:val="24"/>
        </w:rPr>
        <w:t>Хурлын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даргын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захирамжаар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батлагдсан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удирдамж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бүхий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ажлын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хэсэгт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тухайн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үйл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ажиллагаатай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нь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холбоотой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мэдээлэл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бичиг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баримтыг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гаргаж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өгөх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үүрэгтэй</w:t>
      </w:r>
      <w:proofErr w:type="spellEnd"/>
      <w:r w:rsidRPr="00CD7D2D">
        <w:rPr>
          <w:rFonts w:ascii="Arial Mon" w:hAnsi="Arial Mon"/>
          <w:sz w:val="24"/>
          <w:szCs w:val="24"/>
        </w:rPr>
        <w:t>.</w:t>
      </w:r>
      <w:proofErr w:type="gramEnd"/>
    </w:p>
    <w:p w:rsidR="00CD7D2D" w:rsidRPr="00CD7D2D" w:rsidRDefault="00CD7D2D" w:rsidP="00CD7D2D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</w:rPr>
      </w:pPr>
      <w:r w:rsidRPr="00CD7D2D">
        <w:rPr>
          <w:rFonts w:ascii="Arial Mon" w:hAnsi="Arial Mon"/>
          <w:b/>
          <w:sz w:val="24"/>
          <w:szCs w:val="24"/>
        </w:rPr>
        <w:t>ХОТТӨХ-</w:t>
      </w:r>
      <w:proofErr w:type="spellStart"/>
      <w:r w:rsidRPr="00CD7D2D">
        <w:rPr>
          <w:rFonts w:ascii="Arial Mon" w:hAnsi="Arial Mon"/>
          <w:b/>
          <w:sz w:val="24"/>
          <w:szCs w:val="24"/>
        </w:rPr>
        <w:t>ны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эрх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хэмжээний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хүрээнд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эрхлэх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үйл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ажиллагааны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чиглэл</w:t>
      </w:r>
      <w:proofErr w:type="spellEnd"/>
      <w:r w:rsidRPr="00CD7D2D">
        <w:rPr>
          <w:rFonts w:ascii="Arial Mon" w:hAnsi="Arial Mon"/>
          <w:b/>
          <w:sz w:val="24"/>
          <w:szCs w:val="24"/>
        </w:rPr>
        <w:t>:</w:t>
      </w:r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Аймгийн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төсөв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2.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Төсвийн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орлого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зарлага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төсвийн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хяналт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3.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Санхүү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зээл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албан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татвар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4.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Эдийн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засгийн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гадаад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дотоод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5.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Аймгийн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нийгэм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эдийн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засгийн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үндсэн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чиглэл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6.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Орон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нутгийн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өмчийн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асуудал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7.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Эдийн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засгийн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тогтвортой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байдал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8.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Гадаад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харилцаа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экспортын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байдал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9.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Төрөөс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хувийн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хэвшлийг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дэмжих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10.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Аймгийн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ИТХ-</w:t>
      </w:r>
      <w:proofErr w:type="spellStart"/>
      <w:r w:rsidRPr="00CD7D2D">
        <w:rPr>
          <w:rFonts w:ascii="Arial Mon" w:hAnsi="Arial Mon"/>
          <w:sz w:val="24"/>
          <w:szCs w:val="24"/>
        </w:rPr>
        <w:t>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төсөв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11.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Стандартчлал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хэмжил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зүй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чанарын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баталгаажуулалт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12.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Гадаадын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зээл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буцалтгүй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тусламжийн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зарцуулалт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ашиглалт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13.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Статистик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14.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Барилга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хот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хотын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хөгжил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15.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Түлш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эрчим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хүчний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16.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Зам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тээвэр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17.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Харилцаа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холбоо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18.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Худалдан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авах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ажиллагаа</w:t>
      </w:r>
      <w:proofErr w:type="spellEnd"/>
    </w:p>
    <w:p w:rsid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CD7D2D" w:rsidRPr="00CD7D2D" w:rsidRDefault="00CD7D2D" w:rsidP="00CD7D2D">
      <w:pPr>
        <w:spacing w:after="0" w:line="240" w:lineRule="auto"/>
        <w:ind w:firstLine="720"/>
        <w:jc w:val="both"/>
        <w:rPr>
          <w:rFonts w:ascii="Arial Mon" w:hAnsi="Arial Mon"/>
          <w:b/>
          <w:sz w:val="24"/>
          <w:szCs w:val="24"/>
        </w:rPr>
      </w:pPr>
      <w:r w:rsidRPr="00CD7D2D">
        <w:rPr>
          <w:rFonts w:ascii="Arial Mon" w:hAnsi="Arial Mon"/>
          <w:b/>
          <w:sz w:val="24"/>
          <w:szCs w:val="24"/>
        </w:rPr>
        <w:t>ХОТТӨХ-</w:t>
      </w:r>
      <w:proofErr w:type="spellStart"/>
      <w:r w:rsidRPr="00CD7D2D">
        <w:rPr>
          <w:rFonts w:ascii="Arial Mon" w:hAnsi="Arial Mon"/>
          <w:b/>
          <w:sz w:val="24"/>
          <w:szCs w:val="24"/>
        </w:rPr>
        <w:t>ны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хариуцан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ажиллах</w:t>
      </w:r>
      <w:proofErr w:type="spellEnd"/>
      <w:r w:rsidRPr="00CD7D2D">
        <w:rPr>
          <w:rFonts w:ascii="Arial Mon" w:hAnsi="Arial Mon"/>
          <w:b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b/>
          <w:sz w:val="24"/>
          <w:szCs w:val="24"/>
        </w:rPr>
        <w:t>байгууллагууд</w:t>
      </w:r>
      <w:proofErr w:type="spellEnd"/>
      <w:r w:rsidRPr="00CD7D2D">
        <w:rPr>
          <w:rFonts w:ascii="Arial Mon" w:hAnsi="Arial Mon"/>
          <w:b/>
          <w:sz w:val="24"/>
          <w:szCs w:val="24"/>
        </w:rPr>
        <w:t>:</w:t>
      </w:r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1.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Аймгийн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ЗДТГ-</w:t>
      </w:r>
      <w:proofErr w:type="spellStart"/>
      <w:r w:rsidRPr="00CD7D2D">
        <w:rPr>
          <w:rFonts w:ascii="Arial Mon" w:hAnsi="Arial Mon"/>
          <w:sz w:val="24"/>
          <w:szCs w:val="24"/>
        </w:rPr>
        <w:t>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Санхүү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төрийн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сангийн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хэлтэс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2.</w:t>
      </w:r>
      <w:r w:rsidRPr="00CD7D2D">
        <w:rPr>
          <w:rFonts w:ascii="Arial Mon" w:hAnsi="Arial Mon"/>
          <w:sz w:val="24"/>
          <w:szCs w:val="24"/>
        </w:rPr>
        <w:tab/>
        <w:t>АЗДТГ-</w:t>
      </w:r>
      <w:proofErr w:type="spellStart"/>
      <w:r w:rsidRPr="00CD7D2D">
        <w:rPr>
          <w:rFonts w:ascii="Arial Mon" w:hAnsi="Arial Mon"/>
          <w:sz w:val="24"/>
          <w:szCs w:val="24"/>
        </w:rPr>
        <w:t>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Хөрөнгө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оруулалт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хөгжлийн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бодлого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төлөвлөлтийн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хэлтэс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3.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Татварын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хэлтэс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4.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Орон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нутгийн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өмчийн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газар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5.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Газрын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харилцаа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барилга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хот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байгуулалтын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газар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6.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Статистикийн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хэлтэс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7.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Монгол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банк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болон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арилжааны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банкууд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8.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Барилгын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компаниуд</w:t>
      </w:r>
      <w:proofErr w:type="spellEnd"/>
    </w:p>
    <w:p w:rsidR="00CD7D2D" w:rsidRP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</w:rPr>
      </w:pPr>
      <w:r w:rsidRPr="00CD7D2D">
        <w:rPr>
          <w:rFonts w:ascii="Arial Mon" w:hAnsi="Arial Mon"/>
          <w:sz w:val="24"/>
          <w:szCs w:val="24"/>
        </w:rPr>
        <w:t>9.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Эрчим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хүчний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байгууллага</w:t>
      </w:r>
      <w:proofErr w:type="spellEnd"/>
    </w:p>
    <w:p w:rsidR="00CD7D2D" w:rsidRDefault="00CD7D2D" w:rsidP="00CD7D2D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CD7D2D">
        <w:rPr>
          <w:rFonts w:ascii="Arial Mon" w:hAnsi="Arial Mon"/>
          <w:sz w:val="24"/>
          <w:szCs w:val="24"/>
        </w:rPr>
        <w:t>10.</w:t>
      </w:r>
      <w:r w:rsidRPr="00CD7D2D">
        <w:rPr>
          <w:rFonts w:ascii="Arial Mon" w:hAnsi="Arial Mon"/>
          <w:sz w:val="24"/>
          <w:szCs w:val="24"/>
        </w:rPr>
        <w:tab/>
      </w:r>
      <w:proofErr w:type="spellStart"/>
      <w:r w:rsidRPr="00CD7D2D">
        <w:rPr>
          <w:rFonts w:ascii="Arial Mon" w:hAnsi="Arial Mon"/>
          <w:sz w:val="24"/>
          <w:szCs w:val="24"/>
        </w:rPr>
        <w:t>Стандартчлал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, </w:t>
      </w:r>
      <w:proofErr w:type="spellStart"/>
      <w:r w:rsidRPr="00CD7D2D">
        <w:rPr>
          <w:rFonts w:ascii="Arial Mon" w:hAnsi="Arial Mon"/>
          <w:sz w:val="24"/>
          <w:szCs w:val="24"/>
        </w:rPr>
        <w:t>хэмжилзүйн</w:t>
      </w:r>
      <w:proofErr w:type="spellEnd"/>
      <w:r w:rsidRPr="00CD7D2D">
        <w:rPr>
          <w:rFonts w:ascii="Arial Mon" w:hAnsi="Arial Mon"/>
          <w:sz w:val="24"/>
          <w:szCs w:val="24"/>
        </w:rPr>
        <w:t xml:space="preserve"> </w:t>
      </w:r>
      <w:proofErr w:type="spellStart"/>
      <w:r w:rsidRPr="00CD7D2D">
        <w:rPr>
          <w:rFonts w:ascii="Arial Mon" w:hAnsi="Arial Mon"/>
          <w:sz w:val="24"/>
          <w:szCs w:val="24"/>
        </w:rPr>
        <w:t>төв</w:t>
      </w:r>
      <w:proofErr w:type="spellEnd"/>
    </w:p>
    <w:p w:rsidR="000B28B8" w:rsidRDefault="000B28B8" w:rsidP="00CD7D2D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4670B9" w:rsidRDefault="004670B9" w:rsidP="00CD7D2D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0B28B8" w:rsidRDefault="000B28B8" w:rsidP="000B28B8">
      <w:pPr>
        <w:spacing w:after="0" w:line="240" w:lineRule="auto"/>
        <w:jc w:val="center"/>
        <w:rPr>
          <w:rFonts w:ascii="Arial Mon" w:hAnsi="Arial Mon"/>
          <w:sz w:val="24"/>
          <w:szCs w:val="24"/>
        </w:rPr>
      </w:pPr>
      <w:r>
        <w:rPr>
          <w:rFonts w:ascii="Arial Mon" w:hAnsi="Arial Mon"/>
          <w:sz w:val="24"/>
          <w:szCs w:val="24"/>
          <w:lang w:val="mn-MN"/>
        </w:rPr>
        <w:t>ХОРОО ХАРИУЦСАН АЖИЛТАН:  Т.АЛТАНЧИМЭГ</w:t>
      </w:r>
    </w:p>
    <w:p w:rsidR="003039F9" w:rsidRDefault="003039F9" w:rsidP="000B28B8">
      <w:pPr>
        <w:spacing w:after="0" w:line="240" w:lineRule="auto"/>
        <w:jc w:val="center"/>
        <w:rPr>
          <w:rFonts w:ascii="Arial Mon" w:hAnsi="Arial Mon"/>
          <w:sz w:val="24"/>
          <w:szCs w:val="24"/>
        </w:rPr>
      </w:pPr>
    </w:p>
    <w:p w:rsidR="000B28B8" w:rsidRPr="000B28B8" w:rsidRDefault="000B28B8" w:rsidP="000B28B8">
      <w:pPr>
        <w:spacing w:after="0" w:line="240" w:lineRule="auto"/>
        <w:jc w:val="center"/>
        <w:rPr>
          <w:rFonts w:ascii="Arial Mon" w:hAnsi="Arial Mon"/>
          <w:sz w:val="24"/>
          <w:szCs w:val="24"/>
          <w:lang w:val="mn-MN"/>
        </w:rPr>
      </w:pPr>
      <w:r>
        <w:rPr>
          <w:rFonts w:ascii="Arial Mon" w:hAnsi="Arial Mon"/>
          <w:sz w:val="24"/>
          <w:szCs w:val="24"/>
        </w:rPr>
        <w:t>/</w:t>
      </w:r>
      <w:r>
        <w:rPr>
          <w:rFonts w:ascii="Arial Mon" w:hAnsi="Arial Mon"/>
          <w:sz w:val="24"/>
          <w:szCs w:val="24"/>
          <w:lang w:val="mn-MN"/>
        </w:rPr>
        <w:t>Утас: 9803-7899,</w:t>
      </w:r>
      <w:r w:rsidR="003039F9">
        <w:rPr>
          <w:rFonts w:ascii="Arial Mon" w:hAnsi="Arial Mon"/>
          <w:sz w:val="24"/>
          <w:szCs w:val="24"/>
        </w:rPr>
        <w:t xml:space="preserve"> 7056-2085</w:t>
      </w:r>
      <w:proofErr w:type="gramStart"/>
      <w:r w:rsidR="003039F9">
        <w:rPr>
          <w:rFonts w:ascii="Arial Mon" w:hAnsi="Arial Mon"/>
          <w:sz w:val="24"/>
          <w:szCs w:val="24"/>
          <w:lang w:val="mn-MN"/>
        </w:rPr>
        <w:t xml:space="preserve">, </w:t>
      </w:r>
      <w:r>
        <w:rPr>
          <w:rFonts w:ascii="Arial Mon" w:hAnsi="Arial Mon"/>
          <w:sz w:val="24"/>
          <w:szCs w:val="24"/>
          <w:lang w:val="mn-MN"/>
        </w:rPr>
        <w:t xml:space="preserve"> </w:t>
      </w:r>
      <w:proofErr w:type="gramEnd"/>
      <w:hyperlink r:id="rId5" w:history="1">
        <w:r w:rsidRPr="00301A6E">
          <w:rPr>
            <w:rStyle w:val="Hyperlink"/>
            <w:rFonts w:ascii="Arial Mon" w:hAnsi="Arial Mon"/>
            <w:sz w:val="24"/>
            <w:szCs w:val="24"/>
          </w:rPr>
          <w:t>alta9t@yahoo.com</w:t>
        </w:r>
      </w:hyperlink>
      <w:r>
        <w:rPr>
          <w:rFonts w:ascii="Arial Mon" w:hAnsi="Arial Mon"/>
          <w:sz w:val="24"/>
          <w:szCs w:val="24"/>
        </w:rPr>
        <w:t>/</w:t>
      </w:r>
    </w:p>
    <w:sectPr w:rsidR="000B28B8" w:rsidRPr="000B28B8" w:rsidSect="003039F9">
      <w:pgSz w:w="11909" w:h="16834" w:code="9"/>
      <w:pgMar w:top="1152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A"/>
    <w:rsid w:val="00057F08"/>
    <w:rsid w:val="000B28B8"/>
    <w:rsid w:val="00222DFA"/>
    <w:rsid w:val="003039F9"/>
    <w:rsid w:val="004670B9"/>
    <w:rsid w:val="00715F55"/>
    <w:rsid w:val="009C50B7"/>
    <w:rsid w:val="00C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a9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2016-12-06T03:18:00Z</dcterms:created>
  <dcterms:modified xsi:type="dcterms:W3CDTF">2016-12-15T03:28:00Z</dcterms:modified>
</cp:coreProperties>
</file>